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4819C" w14:textId="77777777" w:rsidR="00C7275F" w:rsidRPr="009D3648" w:rsidRDefault="00932CE0" w:rsidP="009D3648">
      <w:pPr>
        <w:spacing w:before="80"/>
        <w:rPr>
          <w:rFonts w:ascii="Calibri" w:hAnsi="Calibri" w:cs="Calibri"/>
          <w:i/>
          <w:iCs/>
          <w:sz w:val="28"/>
          <w:szCs w:val="28"/>
          <w:lang w:val="en-GB"/>
        </w:rPr>
      </w:pPr>
      <w:r w:rsidRPr="009D3648">
        <w:rPr>
          <w:rFonts w:ascii="Calibri" w:hAnsi="Calibri" w:cs="Calibri"/>
          <w:i/>
          <w:iCs/>
          <w:sz w:val="28"/>
          <w:szCs w:val="28"/>
          <w:lang w:val="en-GB"/>
        </w:rPr>
        <w:t>Data extracted from Groupama's 2025 CSRD sustainability report</w:t>
      </w:r>
    </w:p>
    <w:p w14:paraId="7D97988D" w14:textId="77777777" w:rsidR="009D3648" w:rsidRPr="009D3648" w:rsidRDefault="009D3648" w:rsidP="009D3648">
      <w:pPr>
        <w:rPr>
          <w:rFonts w:ascii="Calibri" w:hAnsi="Calibri" w:cs="Calibri"/>
          <w:sz w:val="28"/>
          <w:szCs w:val="28"/>
          <w:lang w:val="en-GB"/>
        </w:rPr>
      </w:pPr>
    </w:p>
    <w:p w14:paraId="366D0D8C" w14:textId="77777777" w:rsidR="00C7275F" w:rsidRPr="009D3648" w:rsidRDefault="00932CE0" w:rsidP="009D3648">
      <w:pPr>
        <w:spacing w:after="120"/>
        <w:rPr>
          <w:rFonts w:ascii="Calibri" w:hAnsi="Calibri" w:cs="Calibri"/>
          <w:sz w:val="28"/>
          <w:szCs w:val="28"/>
          <w:lang w:val="en-GB"/>
        </w:rPr>
      </w:pPr>
      <w:r w:rsidRPr="009D3648">
        <w:rPr>
          <w:rFonts w:ascii="Calibri" w:hAnsi="Calibri" w:cs="Calibri"/>
          <w:b/>
          <w:bCs/>
          <w:sz w:val="28"/>
          <w:szCs w:val="28"/>
          <w:u w:val="single"/>
          <w:lang w:val="en-GB"/>
        </w:rPr>
        <w:t>KEY ENVIRONMENT &amp; CLIMATE INDICATORS 2025</w:t>
      </w:r>
    </w:p>
    <w:p w14:paraId="10AD7F77" w14:textId="77777777" w:rsidR="00C7275F" w:rsidRPr="009D3648" w:rsidRDefault="00932CE0">
      <w:pPr>
        <w:spacing w:before="200" w:after="100"/>
        <w:rPr>
          <w:rFonts w:ascii="Calibri" w:hAnsi="Calibri" w:cs="Calibri"/>
          <w:sz w:val="28"/>
          <w:szCs w:val="28"/>
          <w:u w:val="single"/>
          <w:lang w:val="en-GB"/>
        </w:rPr>
      </w:pPr>
      <w:r w:rsidRPr="009D3648">
        <w:rPr>
          <w:rFonts w:ascii="Calibri" w:hAnsi="Calibri" w:cs="Calibri"/>
          <w:b/>
          <w:bCs/>
          <w:sz w:val="28"/>
          <w:szCs w:val="28"/>
          <w:u w:val="single"/>
          <w:lang w:val="en-GB"/>
        </w:rPr>
        <w:t>Taxonomy (Disclosures under Article 8 of Regulation 2020/852)</w:t>
      </w:r>
    </w:p>
    <w:p w14:paraId="7FB0819A" w14:textId="77777777" w:rsidR="009D3648" w:rsidRDefault="009D3648">
      <w:pPr>
        <w:spacing w:before="120" w:after="60"/>
        <w:rPr>
          <w:rFonts w:ascii="Calibri" w:hAnsi="Calibri" w:cs="Calibri"/>
          <w:b/>
          <w:bCs/>
          <w:i/>
          <w:iCs/>
          <w:sz w:val="22"/>
          <w:szCs w:val="22"/>
          <w:lang w:val="en-GB"/>
        </w:rPr>
      </w:pPr>
    </w:p>
    <w:p w14:paraId="6AFFB645" w14:textId="162E0CDF" w:rsidR="00C7275F" w:rsidRPr="009D3648" w:rsidRDefault="00932CE0">
      <w:pPr>
        <w:spacing w:before="120" w:after="60"/>
        <w:rPr>
          <w:rFonts w:ascii="Calibri" w:hAnsi="Calibri" w:cs="Calibri"/>
          <w:sz w:val="22"/>
          <w:szCs w:val="22"/>
          <w:lang w:val="en-GB"/>
        </w:rPr>
      </w:pPr>
      <w:r w:rsidRPr="009D3648">
        <w:rPr>
          <w:rFonts w:ascii="Calibri" w:hAnsi="Calibri" w:cs="Calibri"/>
          <w:b/>
          <w:bCs/>
          <w:i/>
          <w:iCs/>
          <w:sz w:val="22"/>
          <w:szCs w:val="22"/>
          <w:lang w:val="en-GB"/>
        </w:rPr>
        <w:t>Investment KPI at end of 2025 (regulatory ratio):</w:t>
      </w:r>
    </w:p>
    <w:tbl>
      <w:tblPr>
        <w:tblW w:w="103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4A0" w:firstRow="1" w:lastRow="0" w:firstColumn="1" w:lastColumn="0" w:noHBand="0" w:noVBand="1"/>
      </w:tblPr>
      <w:tblGrid>
        <w:gridCol w:w="5350"/>
        <w:gridCol w:w="2000"/>
        <w:gridCol w:w="2993"/>
      </w:tblGrid>
      <w:tr w:rsidR="00C7275F" w:rsidRPr="009D3648" w14:paraId="37253955" w14:textId="77777777" w:rsidTr="009D3648">
        <w:tblPrEx>
          <w:tblCellMar>
            <w:top w:w="0" w:type="dxa"/>
            <w:bottom w:w="0" w:type="dxa"/>
          </w:tblCellMar>
        </w:tblPrEx>
        <w:tc>
          <w:tcPr>
            <w:tcW w:w="5350" w:type="dxa"/>
            <w:shd w:val="clear" w:color="auto" w:fill="1F4E79"/>
            <w:tcMar>
              <w:top w:w="60" w:type="dxa"/>
              <w:left w:w="100" w:type="dxa"/>
              <w:bottom w:w="60" w:type="dxa"/>
              <w:right w:w="100" w:type="dxa"/>
            </w:tcMar>
            <w:vAlign w:val="center"/>
          </w:tcPr>
          <w:p w14:paraId="6F005E30" w14:textId="77777777" w:rsidR="00C7275F" w:rsidRPr="009D3648" w:rsidRDefault="00C7275F">
            <w:pPr>
              <w:rPr>
                <w:rFonts w:ascii="Calibri" w:hAnsi="Calibri" w:cs="Calibri"/>
                <w:sz w:val="22"/>
                <w:szCs w:val="22"/>
                <w:lang w:val="en-GB"/>
              </w:rPr>
            </w:pPr>
          </w:p>
        </w:tc>
        <w:tc>
          <w:tcPr>
            <w:tcW w:w="2000" w:type="dxa"/>
            <w:shd w:val="clear" w:color="auto" w:fill="1F4E79"/>
            <w:tcMar>
              <w:top w:w="60" w:type="dxa"/>
              <w:left w:w="100" w:type="dxa"/>
              <w:bottom w:w="60" w:type="dxa"/>
              <w:right w:w="100" w:type="dxa"/>
            </w:tcMar>
            <w:vAlign w:val="center"/>
          </w:tcPr>
          <w:p w14:paraId="7C2A51A4"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Reported figure 2025</w:t>
            </w:r>
          </w:p>
        </w:tc>
        <w:tc>
          <w:tcPr>
            <w:tcW w:w="2993" w:type="dxa"/>
            <w:shd w:val="clear" w:color="auto" w:fill="1F4E79"/>
            <w:tcMar>
              <w:top w:w="60" w:type="dxa"/>
              <w:left w:w="100" w:type="dxa"/>
              <w:bottom w:w="60" w:type="dxa"/>
              <w:right w:w="100" w:type="dxa"/>
            </w:tcMar>
            <w:vAlign w:val="center"/>
          </w:tcPr>
          <w:p w14:paraId="7E8B0AA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Reported figure 2024</w:t>
            </w:r>
          </w:p>
        </w:tc>
      </w:tr>
      <w:tr w:rsidR="00C7275F" w:rsidRPr="009D3648" w14:paraId="47363562" w14:textId="77777777" w:rsidTr="009D3648">
        <w:tblPrEx>
          <w:tblCellMar>
            <w:top w:w="0" w:type="dxa"/>
            <w:bottom w:w="0" w:type="dxa"/>
          </w:tblCellMar>
        </w:tblPrEx>
        <w:tc>
          <w:tcPr>
            <w:tcW w:w="5350" w:type="dxa"/>
            <w:tcMar>
              <w:top w:w="60" w:type="dxa"/>
              <w:left w:w="100" w:type="dxa"/>
              <w:bottom w:w="60" w:type="dxa"/>
              <w:right w:w="100" w:type="dxa"/>
            </w:tcMar>
            <w:vAlign w:val="center"/>
          </w:tcPr>
          <w:p w14:paraId="2A154B6B"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Weighted average value of all investments intended to finance or associated with Taxonomy-aligned economic activities, relative to the total value of assets covered by the KPI, for investments in companies:</w:t>
            </w:r>
          </w:p>
        </w:tc>
        <w:tc>
          <w:tcPr>
            <w:tcW w:w="2000" w:type="dxa"/>
            <w:tcMar>
              <w:top w:w="60" w:type="dxa"/>
              <w:left w:w="100" w:type="dxa"/>
              <w:bottom w:w="60" w:type="dxa"/>
              <w:right w:w="100" w:type="dxa"/>
            </w:tcMar>
            <w:vAlign w:val="center"/>
          </w:tcPr>
          <w:p w14:paraId="0DFB2409" w14:textId="77777777" w:rsidR="00C7275F" w:rsidRPr="009D3648" w:rsidRDefault="00C7275F">
            <w:pPr>
              <w:rPr>
                <w:rFonts w:ascii="Calibri" w:hAnsi="Calibri" w:cs="Calibri"/>
                <w:sz w:val="22"/>
                <w:szCs w:val="22"/>
                <w:lang w:val="en-GB"/>
              </w:rPr>
            </w:pPr>
          </w:p>
        </w:tc>
        <w:tc>
          <w:tcPr>
            <w:tcW w:w="2993" w:type="dxa"/>
            <w:tcMar>
              <w:top w:w="60" w:type="dxa"/>
              <w:left w:w="100" w:type="dxa"/>
              <w:bottom w:w="60" w:type="dxa"/>
              <w:right w:w="100" w:type="dxa"/>
            </w:tcMar>
            <w:vAlign w:val="center"/>
          </w:tcPr>
          <w:p w14:paraId="76A230C7" w14:textId="77777777" w:rsidR="00C7275F" w:rsidRPr="009D3648" w:rsidRDefault="00C7275F">
            <w:pPr>
              <w:rPr>
                <w:rFonts w:ascii="Calibri" w:hAnsi="Calibri" w:cs="Calibri"/>
                <w:sz w:val="22"/>
                <w:szCs w:val="22"/>
                <w:lang w:val="en-GB"/>
              </w:rPr>
            </w:pPr>
          </w:p>
        </w:tc>
      </w:tr>
      <w:tr w:rsidR="00C7275F" w:rsidRPr="009D3648" w14:paraId="07CE77D0" w14:textId="77777777" w:rsidTr="009D3648">
        <w:tblPrEx>
          <w:tblCellMar>
            <w:top w:w="0" w:type="dxa"/>
            <w:bottom w:w="0" w:type="dxa"/>
          </w:tblCellMar>
        </w:tblPrEx>
        <w:tc>
          <w:tcPr>
            <w:tcW w:w="5350" w:type="dxa"/>
            <w:tcMar>
              <w:top w:w="60" w:type="dxa"/>
              <w:left w:w="100" w:type="dxa"/>
              <w:bottom w:w="60" w:type="dxa"/>
              <w:right w:w="100" w:type="dxa"/>
            </w:tcMar>
            <w:vAlign w:val="center"/>
          </w:tcPr>
          <w:p w14:paraId="05AACA72"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On a turnover basis</w:t>
            </w:r>
          </w:p>
        </w:tc>
        <w:tc>
          <w:tcPr>
            <w:tcW w:w="2000" w:type="dxa"/>
            <w:tcMar>
              <w:top w:w="60" w:type="dxa"/>
              <w:left w:w="100" w:type="dxa"/>
              <w:bottom w:w="60" w:type="dxa"/>
              <w:right w:w="100" w:type="dxa"/>
            </w:tcMar>
            <w:vAlign w:val="center"/>
          </w:tcPr>
          <w:p w14:paraId="042522B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w:t>
            </w:r>
          </w:p>
        </w:tc>
        <w:tc>
          <w:tcPr>
            <w:tcW w:w="2993" w:type="dxa"/>
            <w:tcMar>
              <w:top w:w="60" w:type="dxa"/>
              <w:left w:w="100" w:type="dxa"/>
              <w:bottom w:w="60" w:type="dxa"/>
              <w:right w:w="100" w:type="dxa"/>
            </w:tcMar>
            <w:vAlign w:val="center"/>
          </w:tcPr>
          <w:p w14:paraId="1FB1EC9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w:t>
            </w:r>
          </w:p>
        </w:tc>
      </w:tr>
      <w:tr w:rsidR="00C7275F" w:rsidRPr="009D3648" w14:paraId="56EBA7AD" w14:textId="77777777" w:rsidTr="009D3648">
        <w:tblPrEx>
          <w:tblCellMar>
            <w:top w:w="0" w:type="dxa"/>
            <w:bottom w:w="0" w:type="dxa"/>
          </w:tblCellMar>
        </w:tblPrEx>
        <w:tc>
          <w:tcPr>
            <w:tcW w:w="5350" w:type="dxa"/>
            <w:tcMar>
              <w:top w:w="60" w:type="dxa"/>
              <w:left w:w="100" w:type="dxa"/>
              <w:bottom w:w="60" w:type="dxa"/>
              <w:right w:w="100" w:type="dxa"/>
            </w:tcMar>
            <w:vAlign w:val="center"/>
          </w:tcPr>
          <w:p w14:paraId="16D70BF4"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 xml:space="preserve">On a </w:t>
            </w:r>
            <w:proofErr w:type="spellStart"/>
            <w:r w:rsidRPr="009D3648">
              <w:rPr>
                <w:rFonts w:ascii="Calibri" w:hAnsi="Calibri" w:cs="Calibri"/>
                <w:b/>
                <w:bCs/>
                <w:color w:val="000000"/>
                <w:sz w:val="22"/>
                <w:szCs w:val="22"/>
                <w:lang w:val="en-GB"/>
              </w:rPr>
              <w:t>CapEx</w:t>
            </w:r>
            <w:proofErr w:type="spellEnd"/>
            <w:r w:rsidRPr="009D3648">
              <w:rPr>
                <w:rFonts w:ascii="Calibri" w:hAnsi="Calibri" w:cs="Calibri"/>
                <w:b/>
                <w:bCs/>
                <w:color w:val="000000"/>
                <w:sz w:val="22"/>
                <w:szCs w:val="22"/>
                <w:lang w:val="en-GB"/>
              </w:rPr>
              <w:t xml:space="preserve"> basis</w:t>
            </w:r>
          </w:p>
        </w:tc>
        <w:tc>
          <w:tcPr>
            <w:tcW w:w="2000" w:type="dxa"/>
            <w:tcMar>
              <w:top w:w="60" w:type="dxa"/>
              <w:left w:w="100" w:type="dxa"/>
              <w:bottom w:w="60" w:type="dxa"/>
              <w:right w:w="100" w:type="dxa"/>
            </w:tcMar>
            <w:vAlign w:val="center"/>
          </w:tcPr>
          <w:p w14:paraId="52F25B9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w:t>
            </w:r>
          </w:p>
        </w:tc>
        <w:tc>
          <w:tcPr>
            <w:tcW w:w="2993" w:type="dxa"/>
            <w:tcMar>
              <w:top w:w="60" w:type="dxa"/>
              <w:left w:w="100" w:type="dxa"/>
              <w:bottom w:w="60" w:type="dxa"/>
              <w:right w:w="100" w:type="dxa"/>
            </w:tcMar>
            <w:vAlign w:val="center"/>
          </w:tcPr>
          <w:p w14:paraId="36B19D4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w:t>
            </w:r>
          </w:p>
        </w:tc>
      </w:tr>
      <w:tr w:rsidR="00C7275F" w:rsidRPr="009D3648" w14:paraId="1A1B68AF" w14:textId="77777777" w:rsidTr="009D3648">
        <w:tblPrEx>
          <w:tblCellMar>
            <w:top w:w="0" w:type="dxa"/>
            <w:bottom w:w="0" w:type="dxa"/>
          </w:tblCellMar>
        </w:tblPrEx>
        <w:tc>
          <w:tcPr>
            <w:tcW w:w="5350" w:type="dxa"/>
            <w:tcMar>
              <w:top w:w="60" w:type="dxa"/>
              <w:left w:w="100" w:type="dxa"/>
              <w:bottom w:w="60" w:type="dxa"/>
              <w:right w:w="100" w:type="dxa"/>
            </w:tcMar>
            <w:vAlign w:val="center"/>
          </w:tcPr>
          <w:p w14:paraId="298C6D7E"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Weighted average value of all investments by the insurance or reinsurance undertaking intended to finance or associated with Taxonomy-aligned economic activities, for investments in companies:</w:t>
            </w:r>
          </w:p>
        </w:tc>
        <w:tc>
          <w:tcPr>
            <w:tcW w:w="2000" w:type="dxa"/>
            <w:tcMar>
              <w:top w:w="60" w:type="dxa"/>
              <w:left w:w="100" w:type="dxa"/>
              <w:bottom w:w="60" w:type="dxa"/>
              <w:right w:w="100" w:type="dxa"/>
            </w:tcMar>
            <w:vAlign w:val="center"/>
          </w:tcPr>
          <w:p w14:paraId="0B5145DB" w14:textId="77777777" w:rsidR="00C7275F" w:rsidRPr="009D3648" w:rsidRDefault="00C7275F">
            <w:pPr>
              <w:rPr>
                <w:rFonts w:ascii="Calibri" w:hAnsi="Calibri" w:cs="Calibri"/>
                <w:sz w:val="22"/>
                <w:szCs w:val="22"/>
                <w:lang w:val="en-GB"/>
              </w:rPr>
            </w:pPr>
          </w:p>
        </w:tc>
        <w:tc>
          <w:tcPr>
            <w:tcW w:w="2993" w:type="dxa"/>
            <w:tcMar>
              <w:top w:w="60" w:type="dxa"/>
              <w:left w:w="100" w:type="dxa"/>
              <w:bottom w:w="60" w:type="dxa"/>
              <w:right w:w="100" w:type="dxa"/>
            </w:tcMar>
            <w:vAlign w:val="center"/>
          </w:tcPr>
          <w:p w14:paraId="47F1962F" w14:textId="77777777" w:rsidR="00C7275F" w:rsidRPr="009D3648" w:rsidRDefault="00C7275F">
            <w:pPr>
              <w:rPr>
                <w:rFonts w:ascii="Calibri" w:hAnsi="Calibri" w:cs="Calibri"/>
                <w:sz w:val="22"/>
                <w:szCs w:val="22"/>
                <w:lang w:val="en-GB"/>
              </w:rPr>
            </w:pPr>
          </w:p>
        </w:tc>
      </w:tr>
      <w:tr w:rsidR="00C7275F" w:rsidRPr="009D3648" w14:paraId="361CFD27" w14:textId="77777777" w:rsidTr="009D3648">
        <w:tblPrEx>
          <w:tblCellMar>
            <w:top w:w="0" w:type="dxa"/>
            <w:bottom w:w="0" w:type="dxa"/>
          </w:tblCellMar>
        </w:tblPrEx>
        <w:tc>
          <w:tcPr>
            <w:tcW w:w="5350" w:type="dxa"/>
            <w:tcMar>
              <w:top w:w="60" w:type="dxa"/>
              <w:left w:w="100" w:type="dxa"/>
              <w:bottom w:w="60" w:type="dxa"/>
              <w:right w:w="100" w:type="dxa"/>
            </w:tcMar>
            <w:vAlign w:val="center"/>
          </w:tcPr>
          <w:p w14:paraId="288BD2B9"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On a turnover basis</w:t>
            </w:r>
          </w:p>
        </w:tc>
        <w:tc>
          <w:tcPr>
            <w:tcW w:w="2000" w:type="dxa"/>
            <w:tcMar>
              <w:top w:w="60" w:type="dxa"/>
              <w:left w:w="100" w:type="dxa"/>
              <w:bottom w:w="60" w:type="dxa"/>
              <w:right w:w="100" w:type="dxa"/>
            </w:tcMar>
            <w:vAlign w:val="center"/>
          </w:tcPr>
          <w:p w14:paraId="171FD22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2,946,093,456</w:t>
            </w:r>
          </w:p>
        </w:tc>
        <w:tc>
          <w:tcPr>
            <w:tcW w:w="2993" w:type="dxa"/>
            <w:tcMar>
              <w:top w:w="60" w:type="dxa"/>
              <w:left w:w="100" w:type="dxa"/>
              <w:bottom w:w="60" w:type="dxa"/>
              <w:right w:w="100" w:type="dxa"/>
            </w:tcMar>
            <w:vAlign w:val="center"/>
          </w:tcPr>
          <w:p w14:paraId="3ACF19C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2,382,778,950</w:t>
            </w:r>
          </w:p>
        </w:tc>
      </w:tr>
      <w:tr w:rsidR="00C7275F" w:rsidRPr="009D3648" w14:paraId="02048806" w14:textId="77777777" w:rsidTr="009D3648">
        <w:tblPrEx>
          <w:tblCellMar>
            <w:top w:w="0" w:type="dxa"/>
            <w:bottom w:w="0" w:type="dxa"/>
          </w:tblCellMar>
        </w:tblPrEx>
        <w:tc>
          <w:tcPr>
            <w:tcW w:w="5350" w:type="dxa"/>
            <w:tcMar>
              <w:top w:w="60" w:type="dxa"/>
              <w:left w:w="100" w:type="dxa"/>
              <w:bottom w:w="60" w:type="dxa"/>
              <w:right w:w="100" w:type="dxa"/>
            </w:tcMar>
            <w:vAlign w:val="center"/>
          </w:tcPr>
          <w:p w14:paraId="11287F70"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 xml:space="preserve">On a </w:t>
            </w:r>
            <w:proofErr w:type="spellStart"/>
            <w:r w:rsidRPr="009D3648">
              <w:rPr>
                <w:rFonts w:ascii="Calibri" w:hAnsi="Calibri" w:cs="Calibri"/>
                <w:b/>
                <w:bCs/>
                <w:color w:val="000000"/>
                <w:sz w:val="22"/>
                <w:szCs w:val="22"/>
                <w:lang w:val="en-GB"/>
              </w:rPr>
              <w:t>CapEx</w:t>
            </w:r>
            <w:proofErr w:type="spellEnd"/>
            <w:r w:rsidRPr="009D3648">
              <w:rPr>
                <w:rFonts w:ascii="Calibri" w:hAnsi="Calibri" w:cs="Calibri"/>
                <w:b/>
                <w:bCs/>
                <w:color w:val="000000"/>
                <w:sz w:val="22"/>
                <w:szCs w:val="22"/>
                <w:lang w:val="en-GB"/>
              </w:rPr>
              <w:t xml:space="preserve"> basis</w:t>
            </w:r>
          </w:p>
        </w:tc>
        <w:tc>
          <w:tcPr>
            <w:tcW w:w="2000" w:type="dxa"/>
            <w:tcMar>
              <w:top w:w="60" w:type="dxa"/>
              <w:left w:w="100" w:type="dxa"/>
              <w:bottom w:w="60" w:type="dxa"/>
              <w:right w:w="100" w:type="dxa"/>
            </w:tcMar>
            <w:vAlign w:val="center"/>
          </w:tcPr>
          <w:p w14:paraId="59AD9CF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3,584,199,220</w:t>
            </w:r>
          </w:p>
        </w:tc>
        <w:tc>
          <w:tcPr>
            <w:tcW w:w="2993" w:type="dxa"/>
            <w:tcMar>
              <w:top w:w="60" w:type="dxa"/>
              <w:left w:w="100" w:type="dxa"/>
              <w:bottom w:w="60" w:type="dxa"/>
              <w:right w:w="100" w:type="dxa"/>
            </w:tcMar>
            <w:vAlign w:val="center"/>
          </w:tcPr>
          <w:p w14:paraId="746C83A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2,984,495,221</w:t>
            </w:r>
          </w:p>
        </w:tc>
      </w:tr>
      <w:tr w:rsidR="00C7275F" w:rsidRPr="009D3648" w14:paraId="3A043929" w14:textId="77777777" w:rsidTr="009D3648">
        <w:tblPrEx>
          <w:tblCellMar>
            <w:top w:w="0" w:type="dxa"/>
            <w:bottom w:w="0" w:type="dxa"/>
          </w:tblCellMar>
        </w:tblPrEx>
        <w:tc>
          <w:tcPr>
            <w:tcW w:w="5350" w:type="dxa"/>
            <w:tcMar>
              <w:top w:w="60" w:type="dxa"/>
              <w:left w:w="100" w:type="dxa"/>
              <w:bottom w:w="60" w:type="dxa"/>
              <w:right w:w="100" w:type="dxa"/>
            </w:tcMar>
            <w:vAlign w:val="center"/>
          </w:tcPr>
          <w:p w14:paraId="02E3118B"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Percentage of assets covered by the KPI relative to total investments of the insurance or reinsurance undertaking (total assets under management). Excluding investments in sovereign entities (coverage ratio)</w:t>
            </w:r>
          </w:p>
        </w:tc>
        <w:tc>
          <w:tcPr>
            <w:tcW w:w="2000" w:type="dxa"/>
            <w:tcMar>
              <w:top w:w="60" w:type="dxa"/>
              <w:left w:w="100" w:type="dxa"/>
              <w:bottom w:w="60" w:type="dxa"/>
              <w:right w:w="100" w:type="dxa"/>
            </w:tcMar>
            <w:vAlign w:val="center"/>
          </w:tcPr>
          <w:p w14:paraId="5C24C04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75%</w:t>
            </w:r>
          </w:p>
        </w:tc>
        <w:tc>
          <w:tcPr>
            <w:tcW w:w="2993" w:type="dxa"/>
            <w:tcMar>
              <w:top w:w="60" w:type="dxa"/>
              <w:left w:w="100" w:type="dxa"/>
              <w:bottom w:w="60" w:type="dxa"/>
              <w:right w:w="100" w:type="dxa"/>
            </w:tcMar>
            <w:vAlign w:val="center"/>
          </w:tcPr>
          <w:p w14:paraId="08F1A99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72%</w:t>
            </w:r>
          </w:p>
        </w:tc>
      </w:tr>
      <w:tr w:rsidR="00C7275F" w:rsidRPr="009D3648" w14:paraId="75EB0BBF" w14:textId="77777777" w:rsidTr="009D3648">
        <w:tblPrEx>
          <w:tblCellMar>
            <w:top w:w="0" w:type="dxa"/>
            <w:bottom w:w="0" w:type="dxa"/>
          </w:tblCellMar>
        </w:tblPrEx>
        <w:tc>
          <w:tcPr>
            <w:tcW w:w="5350" w:type="dxa"/>
            <w:tcMar>
              <w:top w:w="60" w:type="dxa"/>
              <w:left w:w="100" w:type="dxa"/>
              <w:bottom w:w="60" w:type="dxa"/>
              <w:right w:w="100" w:type="dxa"/>
            </w:tcMar>
            <w:vAlign w:val="center"/>
          </w:tcPr>
          <w:p w14:paraId="4F11A6EC"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Monetary value of assets covered by the KPI. Excluding investments in sovereign entities (coverage)</w:t>
            </w:r>
          </w:p>
        </w:tc>
        <w:tc>
          <w:tcPr>
            <w:tcW w:w="2000" w:type="dxa"/>
            <w:tcMar>
              <w:top w:w="60" w:type="dxa"/>
              <w:left w:w="100" w:type="dxa"/>
              <w:bottom w:w="60" w:type="dxa"/>
              <w:right w:w="100" w:type="dxa"/>
            </w:tcMar>
            <w:vAlign w:val="center"/>
          </w:tcPr>
          <w:p w14:paraId="733D7B1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64,079,585,615</w:t>
            </w:r>
          </w:p>
        </w:tc>
        <w:tc>
          <w:tcPr>
            <w:tcW w:w="2993" w:type="dxa"/>
            <w:tcMar>
              <w:top w:w="60" w:type="dxa"/>
              <w:left w:w="100" w:type="dxa"/>
              <w:bottom w:w="60" w:type="dxa"/>
              <w:right w:w="100" w:type="dxa"/>
            </w:tcMar>
            <w:vAlign w:val="center"/>
          </w:tcPr>
          <w:p w14:paraId="18A7BC2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58,159,099,579</w:t>
            </w:r>
          </w:p>
        </w:tc>
      </w:tr>
    </w:tbl>
    <w:p w14:paraId="552E92D3" w14:textId="77777777" w:rsidR="00C7275F" w:rsidRPr="009D3648" w:rsidRDefault="00C7275F">
      <w:pPr>
        <w:rPr>
          <w:rFonts w:ascii="Calibri" w:hAnsi="Calibri" w:cs="Calibri"/>
          <w:sz w:val="22"/>
          <w:szCs w:val="22"/>
          <w:lang w:val="en-GB"/>
        </w:rPr>
      </w:pPr>
    </w:p>
    <w:p w14:paraId="76C38CFA" w14:textId="77777777" w:rsidR="00C7275F" w:rsidRDefault="00932CE0" w:rsidP="009D3648">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The share of Groupama Group's aligned investments for 2025 stands at 5% on a turnover basis and 6% on a </w:t>
      </w:r>
      <w:proofErr w:type="spellStart"/>
      <w:r w:rsidRPr="009D3648">
        <w:rPr>
          <w:rFonts w:ascii="Calibri" w:hAnsi="Calibri" w:cs="Calibri"/>
          <w:sz w:val="22"/>
          <w:szCs w:val="22"/>
          <w:lang w:val="en-GB"/>
        </w:rPr>
        <w:t>CapEx</w:t>
      </w:r>
      <w:proofErr w:type="spellEnd"/>
      <w:r w:rsidRPr="009D3648">
        <w:rPr>
          <w:rFonts w:ascii="Calibri" w:hAnsi="Calibri" w:cs="Calibri"/>
          <w:sz w:val="22"/>
          <w:szCs w:val="22"/>
          <w:lang w:val="en-GB"/>
        </w:rPr>
        <w:t xml:space="preserve"> basis, for a proportion of 75% of assets covered by the Key Performance Indicator (KPI).</w:t>
      </w:r>
    </w:p>
    <w:p w14:paraId="73CFA39B" w14:textId="77777777" w:rsidR="009D3648" w:rsidRDefault="009D3648">
      <w:pPr>
        <w:spacing w:before="80" w:after="120"/>
        <w:rPr>
          <w:rFonts w:ascii="Calibri" w:hAnsi="Calibri" w:cs="Calibri"/>
          <w:sz w:val="22"/>
          <w:szCs w:val="22"/>
          <w:lang w:val="en-GB"/>
        </w:rPr>
      </w:pPr>
    </w:p>
    <w:p w14:paraId="2BA2DE9A" w14:textId="77777777" w:rsidR="009D3648" w:rsidRDefault="009D3648">
      <w:pPr>
        <w:spacing w:before="80" w:after="120"/>
        <w:rPr>
          <w:rFonts w:ascii="Calibri" w:hAnsi="Calibri" w:cs="Calibri"/>
          <w:sz w:val="22"/>
          <w:szCs w:val="22"/>
          <w:lang w:val="en-GB"/>
        </w:rPr>
      </w:pPr>
    </w:p>
    <w:p w14:paraId="6B32C578" w14:textId="77777777" w:rsidR="009D3648" w:rsidRDefault="009D3648">
      <w:pPr>
        <w:spacing w:before="80" w:after="120"/>
        <w:rPr>
          <w:rFonts w:ascii="Calibri" w:hAnsi="Calibri" w:cs="Calibri"/>
          <w:sz w:val="22"/>
          <w:szCs w:val="22"/>
          <w:lang w:val="en-GB"/>
        </w:rPr>
      </w:pPr>
    </w:p>
    <w:p w14:paraId="30133ED3" w14:textId="77777777" w:rsidR="009D3648" w:rsidRDefault="009D3648">
      <w:pPr>
        <w:spacing w:before="80" w:after="120"/>
        <w:rPr>
          <w:rFonts w:ascii="Calibri" w:hAnsi="Calibri" w:cs="Calibri"/>
          <w:sz w:val="22"/>
          <w:szCs w:val="22"/>
          <w:lang w:val="en-GB"/>
        </w:rPr>
      </w:pPr>
    </w:p>
    <w:p w14:paraId="46024719" w14:textId="77777777" w:rsidR="009D3648" w:rsidRDefault="009D3648">
      <w:pPr>
        <w:spacing w:before="80" w:after="120"/>
        <w:rPr>
          <w:rFonts w:ascii="Calibri" w:hAnsi="Calibri" w:cs="Calibri"/>
          <w:sz w:val="22"/>
          <w:szCs w:val="22"/>
          <w:lang w:val="en-GB"/>
        </w:rPr>
      </w:pPr>
    </w:p>
    <w:p w14:paraId="0577EC5C" w14:textId="77777777" w:rsidR="009D3648" w:rsidRDefault="009D3648">
      <w:pPr>
        <w:spacing w:before="80" w:after="120"/>
        <w:rPr>
          <w:rFonts w:ascii="Calibri" w:hAnsi="Calibri" w:cs="Calibri"/>
          <w:sz w:val="22"/>
          <w:szCs w:val="22"/>
          <w:lang w:val="en-GB"/>
        </w:rPr>
      </w:pPr>
    </w:p>
    <w:p w14:paraId="4A3325E2" w14:textId="77777777" w:rsidR="009D3648" w:rsidRDefault="009D3648">
      <w:pPr>
        <w:spacing w:before="80" w:after="120"/>
        <w:rPr>
          <w:rFonts w:ascii="Calibri" w:hAnsi="Calibri" w:cs="Calibri"/>
          <w:sz w:val="22"/>
          <w:szCs w:val="22"/>
          <w:lang w:val="en-GB"/>
        </w:rPr>
      </w:pPr>
    </w:p>
    <w:p w14:paraId="08F7C0CC" w14:textId="77777777" w:rsidR="009D3648" w:rsidRDefault="009D3648">
      <w:pPr>
        <w:spacing w:before="80" w:after="120"/>
        <w:rPr>
          <w:rFonts w:ascii="Calibri" w:hAnsi="Calibri" w:cs="Calibri"/>
          <w:sz w:val="22"/>
          <w:szCs w:val="22"/>
          <w:lang w:val="en-GB"/>
        </w:rPr>
      </w:pPr>
    </w:p>
    <w:p w14:paraId="1903214E" w14:textId="77777777" w:rsidR="009D3648" w:rsidRPr="009D3648" w:rsidRDefault="009D3648">
      <w:pPr>
        <w:spacing w:before="80" w:after="120"/>
        <w:rPr>
          <w:rFonts w:ascii="Calibri" w:hAnsi="Calibri" w:cs="Calibri"/>
          <w:sz w:val="22"/>
          <w:szCs w:val="22"/>
          <w:lang w:val="en-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84"/>
        <w:gridCol w:w="1764"/>
        <w:gridCol w:w="1765"/>
        <w:gridCol w:w="1765"/>
        <w:gridCol w:w="1765"/>
      </w:tblGrid>
      <w:tr w:rsidR="00C7275F" w:rsidRPr="009D3648" w14:paraId="1AB52502" w14:textId="77777777" w:rsidTr="009D3648">
        <w:tblPrEx>
          <w:tblCellMar>
            <w:top w:w="0" w:type="dxa"/>
            <w:bottom w:w="0" w:type="dxa"/>
          </w:tblCellMar>
        </w:tblPrEx>
        <w:tc>
          <w:tcPr>
            <w:tcW w:w="3284" w:type="dxa"/>
            <w:tcBorders>
              <w:bottom w:val="single" w:sz="4" w:space="0" w:color="A6A6A6" w:themeColor="background1" w:themeShade="A6"/>
            </w:tcBorders>
            <w:shd w:val="clear" w:color="auto" w:fill="1F4E79"/>
            <w:tcMar>
              <w:top w:w="60" w:type="dxa"/>
              <w:left w:w="100" w:type="dxa"/>
              <w:bottom w:w="60" w:type="dxa"/>
              <w:right w:w="100" w:type="dxa"/>
            </w:tcMar>
            <w:vAlign w:val="center"/>
          </w:tcPr>
          <w:p w14:paraId="47045B57" w14:textId="77777777" w:rsidR="00C7275F" w:rsidRPr="009D3648" w:rsidRDefault="00C7275F">
            <w:pPr>
              <w:jc w:val="center"/>
              <w:rPr>
                <w:rFonts w:ascii="Calibri" w:hAnsi="Calibri" w:cs="Calibri"/>
                <w:sz w:val="22"/>
                <w:szCs w:val="22"/>
                <w:lang w:val="en-GB"/>
              </w:rPr>
            </w:pPr>
          </w:p>
        </w:tc>
        <w:tc>
          <w:tcPr>
            <w:tcW w:w="3529" w:type="dxa"/>
            <w:gridSpan w:val="2"/>
            <w:tcBorders>
              <w:bottom w:val="single" w:sz="4" w:space="0" w:color="A6A6A6" w:themeColor="background1" w:themeShade="A6"/>
            </w:tcBorders>
            <w:shd w:val="clear" w:color="auto" w:fill="1F4E79"/>
            <w:tcMar>
              <w:top w:w="60" w:type="dxa"/>
              <w:left w:w="100" w:type="dxa"/>
              <w:bottom w:w="60" w:type="dxa"/>
              <w:right w:w="100" w:type="dxa"/>
            </w:tcMar>
            <w:vAlign w:val="center"/>
          </w:tcPr>
          <w:p w14:paraId="0D30F0A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2025</w:t>
            </w:r>
          </w:p>
        </w:tc>
        <w:tc>
          <w:tcPr>
            <w:tcW w:w="3530" w:type="dxa"/>
            <w:gridSpan w:val="2"/>
            <w:tcBorders>
              <w:bottom w:val="single" w:sz="4" w:space="0" w:color="A6A6A6" w:themeColor="background1" w:themeShade="A6"/>
            </w:tcBorders>
            <w:shd w:val="clear" w:color="auto" w:fill="1F4E79"/>
            <w:tcMar>
              <w:top w:w="60" w:type="dxa"/>
              <w:left w:w="100" w:type="dxa"/>
              <w:bottom w:w="60" w:type="dxa"/>
              <w:right w:w="100" w:type="dxa"/>
            </w:tcMar>
            <w:vAlign w:val="center"/>
          </w:tcPr>
          <w:p w14:paraId="298CD431"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2024</w:t>
            </w:r>
          </w:p>
        </w:tc>
      </w:tr>
      <w:tr w:rsidR="00C7275F" w:rsidRPr="009D3648" w14:paraId="5552C2EB"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325982F6" w14:textId="77777777" w:rsidR="00C7275F" w:rsidRPr="009D3648" w:rsidRDefault="00C7275F">
            <w:pPr>
              <w:jc w:val="center"/>
              <w:rPr>
                <w:rFonts w:ascii="Calibri" w:hAnsi="Calibri" w:cs="Calibri"/>
                <w:sz w:val="22"/>
                <w:szCs w:val="22"/>
                <w:lang w:val="en-GB"/>
              </w:rPr>
            </w:pP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2F01EAEA"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Share of exposures contributing substantially to the environmental objective</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79DDAC9"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Of which Enabling activities</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DDF51A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Share of exposures contributing substantially to the environmental objective</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B4D08A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Of which Enabling activities</w:t>
            </w:r>
          </w:p>
        </w:tc>
      </w:tr>
      <w:tr w:rsidR="00C7275F" w:rsidRPr="009D3648" w14:paraId="36D46DEF"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30C84C4"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(1) Climate change mitigation</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724E3369"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D1725AD"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C0D324B"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14F35EB" w14:textId="77777777" w:rsidR="00C7275F" w:rsidRPr="009D3648" w:rsidRDefault="00C7275F">
            <w:pPr>
              <w:rPr>
                <w:rFonts w:ascii="Calibri" w:hAnsi="Calibri" w:cs="Calibri"/>
                <w:sz w:val="22"/>
                <w:szCs w:val="22"/>
                <w:lang w:val="en-GB"/>
              </w:rPr>
            </w:pPr>
          </w:p>
        </w:tc>
      </w:tr>
      <w:tr w:rsidR="00C7275F" w:rsidRPr="009D3648" w14:paraId="2B66A8AB"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E8A4371"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KPI basis: Turnover</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94A02D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95.2%</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75AF1A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33.8%</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6F66D5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98.3%</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6CC6C6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37.6%</w:t>
            </w:r>
          </w:p>
        </w:tc>
      </w:tr>
      <w:tr w:rsidR="00C7275F" w:rsidRPr="009D3648" w14:paraId="69DCE51E"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C618363"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 xml:space="preserve">KPI basis: </w:t>
            </w:r>
            <w:proofErr w:type="spellStart"/>
            <w:r w:rsidRPr="009D3648">
              <w:rPr>
                <w:rFonts w:ascii="Calibri" w:hAnsi="Calibri" w:cs="Calibri"/>
                <w:b/>
                <w:bCs/>
                <w:color w:val="000000"/>
                <w:sz w:val="22"/>
                <w:szCs w:val="22"/>
                <w:lang w:val="en-GB"/>
              </w:rPr>
              <w:t>CapEx</w:t>
            </w:r>
            <w:proofErr w:type="spellEnd"/>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3FA299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96.5%</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F1A10F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31.8%</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7608E94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98.9%</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EE95E8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34.5%</w:t>
            </w:r>
          </w:p>
        </w:tc>
      </w:tr>
      <w:tr w:rsidR="00C7275F" w:rsidRPr="009D3648" w14:paraId="79BFC764"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A4E9BF2"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(2) Climate change adaptation</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4C169E9"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B08BEB3"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7988B590"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CAA3BAB" w14:textId="77777777" w:rsidR="00C7275F" w:rsidRPr="009D3648" w:rsidRDefault="00C7275F">
            <w:pPr>
              <w:rPr>
                <w:rFonts w:ascii="Calibri" w:hAnsi="Calibri" w:cs="Calibri"/>
                <w:sz w:val="22"/>
                <w:szCs w:val="22"/>
                <w:lang w:val="en-GB"/>
              </w:rPr>
            </w:pPr>
          </w:p>
        </w:tc>
      </w:tr>
      <w:tr w:rsidR="00C7275F" w:rsidRPr="009D3648" w14:paraId="359811D0"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D5130FA"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KPI basis: Turnover</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ED0C52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0.9%</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A285D4E" w14:textId="77777777" w:rsidR="00C7275F" w:rsidRPr="009D3648" w:rsidRDefault="00C7275F">
            <w:pPr>
              <w:jc w:val="cente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2990680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0.8%</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23F2D312" w14:textId="77777777" w:rsidR="00C7275F" w:rsidRPr="009D3648" w:rsidRDefault="00C7275F">
            <w:pPr>
              <w:jc w:val="center"/>
              <w:rPr>
                <w:rFonts w:ascii="Calibri" w:hAnsi="Calibri" w:cs="Calibri"/>
                <w:sz w:val="22"/>
                <w:szCs w:val="22"/>
                <w:lang w:val="en-GB"/>
              </w:rPr>
            </w:pPr>
          </w:p>
        </w:tc>
      </w:tr>
      <w:tr w:rsidR="00C7275F" w:rsidRPr="009D3648" w14:paraId="2A839786"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25F01BDA"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 xml:space="preserve">KPI basis: </w:t>
            </w:r>
            <w:proofErr w:type="spellStart"/>
            <w:r w:rsidRPr="009D3648">
              <w:rPr>
                <w:rFonts w:ascii="Calibri" w:hAnsi="Calibri" w:cs="Calibri"/>
                <w:b/>
                <w:bCs/>
                <w:color w:val="000000"/>
                <w:sz w:val="22"/>
                <w:szCs w:val="22"/>
                <w:lang w:val="en-GB"/>
              </w:rPr>
              <w:t>CapEx</w:t>
            </w:r>
            <w:proofErr w:type="spellEnd"/>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769320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0.3%</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9B0A9A7" w14:textId="77777777" w:rsidR="00C7275F" w:rsidRPr="009D3648" w:rsidRDefault="00C7275F">
            <w:pPr>
              <w:jc w:val="cente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969629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0.1%</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AF7ABB9" w14:textId="77777777" w:rsidR="00C7275F" w:rsidRPr="009D3648" w:rsidRDefault="00C7275F">
            <w:pPr>
              <w:jc w:val="center"/>
              <w:rPr>
                <w:rFonts w:ascii="Calibri" w:hAnsi="Calibri" w:cs="Calibri"/>
                <w:sz w:val="22"/>
                <w:szCs w:val="22"/>
                <w:lang w:val="en-GB"/>
              </w:rPr>
            </w:pPr>
          </w:p>
        </w:tc>
      </w:tr>
      <w:tr w:rsidR="00C7275F" w:rsidRPr="009D3648" w14:paraId="30E374BE"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558B5D1"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(3) Sustainable use and protection of water and marine resources</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743C701"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E362E0E"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F91ADE0"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2C8153B" w14:textId="77777777" w:rsidR="00C7275F" w:rsidRPr="009D3648" w:rsidRDefault="00C7275F">
            <w:pPr>
              <w:rPr>
                <w:rFonts w:ascii="Calibri" w:hAnsi="Calibri" w:cs="Calibri"/>
                <w:sz w:val="22"/>
                <w:szCs w:val="22"/>
                <w:lang w:val="en-GB"/>
              </w:rPr>
            </w:pPr>
          </w:p>
        </w:tc>
      </w:tr>
      <w:tr w:rsidR="00C7275F" w:rsidRPr="009D3648" w14:paraId="54863821"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21025D9D"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KPI basis: Turnover</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72CE198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0.4%</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7B6A43D" w14:textId="77777777" w:rsidR="00C7275F" w:rsidRPr="009D3648" w:rsidRDefault="00C7275F">
            <w:pPr>
              <w:jc w:val="cente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4C7A19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0.3%</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98EC0C5" w14:textId="77777777" w:rsidR="00C7275F" w:rsidRPr="009D3648" w:rsidRDefault="00C7275F">
            <w:pPr>
              <w:jc w:val="center"/>
              <w:rPr>
                <w:rFonts w:ascii="Calibri" w:hAnsi="Calibri" w:cs="Calibri"/>
                <w:sz w:val="22"/>
                <w:szCs w:val="22"/>
                <w:lang w:val="en-GB"/>
              </w:rPr>
            </w:pPr>
          </w:p>
        </w:tc>
      </w:tr>
      <w:tr w:rsidR="00C7275F" w:rsidRPr="009D3648" w14:paraId="40384C5F"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C243FC7"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 xml:space="preserve">KPI basis: </w:t>
            </w:r>
            <w:proofErr w:type="spellStart"/>
            <w:r w:rsidRPr="009D3648">
              <w:rPr>
                <w:rFonts w:ascii="Calibri" w:hAnsi="Calibri" w:cs="Calibri"/>
                <w:b/>
                <w:bCs/>
                <w:color w:val="000000"/>
                <w:sz w:val="22"/>
                <w:szCs w:val="22"/>
                <w:lang w:val="en-GB"/>
              </w:rPr>
              <w:t>CapEx</w:t>
            </w:r>
            <w:proofErr w:type="spellEnd"/>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5AF7D7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0.3%</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86C7B8B" w14:textId="77777777" w:rsidR="00C7275F" w:rsidRPr="009D3648" w:rsidRDefault="00C7275F">
            <w:pPr>
              <w:jc w:val="cente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4CC6A6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0.2%</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119A76A" w14:textId="77777777" w:rsidR="00C7275F" w:rsidRPr="009D3648" w:rsidRDefault="00C7275F">
            <w:pPr>
              <w:jc w:val="center"/>
              <w:rPr>
                <w:rFonts w:ascii="Calibri" w:hAnsi="Calibri" w:cs="Calibri"/>
                <w:sz w:val="22"/>
                <w:szCs w:val="22"/>
                <w:lang w:val="en-GB"/>
              </w:rPr>
            </w:pPr>
          </w:p>
        </w:tc>
      </w:tr>
      <w:tr w:rsidR="00C7275F" w:rsidRPr="009D3648" w14:paraId="4D5C3855"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AD6C190"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(4) Transition to a circular economy</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2BCC7E1E"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F0EFF57"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D66A085"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528E815" w14:textId="77777777" w:rsidR="00C7275F" w:rsidRPr="009D3648" w:rsidRDefault="00C7275F">
            <w:pPr>
              <w:rPr>
                <w:rFonts w:ascii="Calibri" w:hAnsi="Calibri" w:cs="Calibri"/>
                <w:sz w:val="22"/>
                <w:szCs w:val="22"/>
                <w:lang w:val="en-GB"/>
              </w:rPr>
            </w:pPr>
          </w:p>
        </w:tc>
      </w:tr>
      <w:tr w:rsidR="00C7275F" w:rsidRPr="009D3648" w14:paraId="56DFE3C3"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5E9F263"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KPI basis: Turnover</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B04B42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2.5%</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E8117FC" w14:textId="77777777" w:rsidR="00C7275F" w:rsidRPr="009D3648" w:rsidRDefault="00C7275F">
            <w:pPr>
              <w:jc w:val="cente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981FF2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0.2%</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2B257400" w14:textId="77777777" w:rsidR="00C7275F" w:rsidRPr="009D3648" w:rsidRDefault="00C7275F">
            <w:pPr>
              <w:jc w:val="center"/>
              <w:rPr>
                <w:rFonts w:ascii="Calibri" w:hAnsi="Calibri" w:cs="Calibri"/>
                <w:sz w:val="22"/>
                <w:szCs w:val="22"/>
                <w:lang w:val="en-GB"/>
              </w:rPr>
            </w:pPr>
          </w:p>
        </w:tc>
      </w:tr>
      <w:tr w:rsidR="00C7275F" w:rsidRPr="009D3648" w14:paraId="0A6F4CA5"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6319FC8"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 xml:space="preserve">KPI basis: </w:t>
            </w:r>
            <w:proofErr w:type="spellStart"/>
            <w:r w:rsidRPr="009D3648">
              <w:rPr>
                <w:rFonts w:ascii="Calibri" w:hAnsi="Calibri" w:cs="Calibri"/>
                <w:b/>
                <w:bCs/>
                <w:color w:val="000000"/>
                <w:sz w:val="22"/>
                <w:szCs w:val="22"/>
                <w:lang w:val="en-GB"/>
              </w:rPr>
              <w:t>CapEx</w:t>
            </w:r>
            <w:proofErr w:type="spellEnd"/>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8CBA3B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1.7%</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755223C" w14:textId="77777777" w:rsidR="00C7275F" w:rsidRPr="009D3648" w:rsidRDefault="00C7275F">
            <w:pPr>
              <w:jc w:val="cente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780F47D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0.2%</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7D42E59A" w14:textId="77777777" w:rsidR="00C7275F" w:rsidRPr="009D3648" w:rsidRDefault="00C7275F">
            <w:pPr>
              <w:jc w:val="center"/>
              <w:rPr>
                <w:rFonts w:ascii="Calibri" w:hAnsi="Calibri" w:cs="Calibri"/>
                <w:sz w:val="22"/>
                <w:szCs w:val="22"/>
                <w:lang w:val="en-GB"/>
              </w:rPr>
            </w:pPr>
          </w:p>
        </w:tc>
      </w:tr>
      <w:tr w:rsidR="00C7275F" w:rsidRPr="009D3648" w14:paraId="30BD5B75"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ADC079E"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(5) Pollution prevention and control</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61D22A6"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76C703A8"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BE43D91"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E1AAF22" w14:textId="77777777" w:rsidR="00C7275F" w:rsidRPr="009D3648" w:rsidRDefault="00C7275F">
            <w:pPr>
              <w:rPr>
                <w:rFonts w:ascii="Calibri" w:hAnsi="Calibri" w:cs="Calibri"/>
                <w:sz w:val="22"/>
                <w:szCs w:val="22"/>
                <w:lang w:val="en-GB"/>
              </w:rPr>
            </w:pPr>
          </w:p>
        </w:tc>
      </w:tr>
      <w:tr w:rsidR="00C7275F" w:rsidRPr="009D3648" w14:paraId="4B222DE3"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B6A6281"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KPI basis: Turnover</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B51E83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1.0%</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0479C9E" w14:textId="77777777" w:rsidR="00C7275F" w:rsidRPr="009D3648" w:rsidRDefault="00C7275F">
            <w:pPr>
              <w:jc w:val="cente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6502A4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0.4%</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C718C5B" w14:textId="77777777" w:rsidR="00C7275F" w:rsidRPr="009D3648" w:rsidRDefault="00C7275F">
            <w:pPr>
              <w:jc w:val="center"/>
              <w:rPr>
                <w:rFonts w:ascii="Calibri" w:hAnsi="Calibri" w:cs="Calibri"/>
                <w:sz w:val="22"/>
                <w:szCs w:val="22"/>
                <w:lang w:val="en-GB"/>
              </w:rPr>
            </w:pPr>
          </w:p>
        </w:tc>
      </w:tr>
      <w:tr w:rsidR="00C7275F" w:rsidRPr="009D3648" w14:paraId="6CAC0E40"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79474B75"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 xml:space="preserve">KPI basis: </w:t>
            </w:r>
            <w:proofErr w:type="spellStart"/>
            <w:r w:rsidRPr="009D3648">
              <w:rPr>
                <w:rFonts w:ascii="Calibri" w:hAnsi="Calibri" w:cs="Calibri"/>
                <w:b/>
                <w:bCs/>
                <w:color w:val="000000"/>
                <w:sz w:val="22"/>
                <w:szCs w:val="22"/>
                <w:lang w:val="en-GB"/>
              </w:rPr>
              <w:t>CapEx</w:t>
            </w:r>
            <w:proofErr w:type="spellEnd"/>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F26BA3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1.1%</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BC2D3C7" w14:textId="77777777" w:rsidR="00C7275F" w:rsidRPr="009D3648" w:rsidRDefault="00C7275F">
            <w:pPr>
              <w:jc w:val="cente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C43668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0.5%</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0C18F88" w14:textId="77777777" w:rsidR="00C7275F" w:rsidRPr="009D3648" w:rsidRDefault="00C7275F">
            <w:pPr>
              <w:jc w:val="center"/>
              <w:rPr>
                <w:rFonts w:ascii="Calibri" w:hAnsi="Calibri" w:cs="Calibri"/>
                <w:sz w:val="22"/>
                <w:szCs w:val="22"/>
                <w:lang w:val="en-GB"/>
              </w:rPr>
            </w:pPr>
          </w:p>
        </w:tc>
      </w:tr>
      <w:tr w:rsidR="00C7275F" w:rsidRPr="009D3648" w14:paraId="23F611D1"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FAB8FC8"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(6) Protection and restoration of biodiversity and ecosystems</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3B7C01A"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B517420"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EE09876" w14:textId="77777777" w:rsidR="00C7275F" w:rsidRPr="009D3648" w:rsidRDefault="00C7275F">
            <w:pP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945C07C" w14:textId="77777777" w:rsidR="00C7275F" w:rsidRPr="009D3648" w:rsidRDefault="00C7275F">
            <w:pPr>
              <w:rPr>
                <w:rFonts w:ascii="Calibri" w:hAnsi="Calibri" w:cs="Calibri"/>
                <w:sz w:val="22"/>
                <w:szCs w:val="22"/>
                <w:lang w:val="en-GB"/>
              </w:rPr>
            </w:pPr>
          </w:p>
        </w:tc>
      </w:tr>
      <w:tr w:rsidR="00C7275F" w:rsidRPr="009D3648" w14:paraId="6971D07B"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2163E51"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KPI basis: Turnover</w:t>
            </w:r>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A61768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280CEF5D" w14:textId="77777777" w:rsidR="00C7275F" w:rsidRPr="009D3648" w:rsidRDefault="00C7275F">
            <w:pPr>
              <w:jc w:val="cente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3477FD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900A975" w14:textId="77777777" w:rsidR="00C7275F" w:rsidRPr="009D3648" w:rsidRDefault="00C7275F">
            <w:pPr>
              <w:jc w:val="center"/>
              <w:rPr>
                <w:rFonts w:ascii="Calibri" w:hAnsi="Calibri" w:cs="Calibri"/>
                <w:sz w:val="22"/>
                <w:szCs w:val="22"/>
                <w:lang w:val="en-GB"/>
              </w:rPr>
            </w:pPr>
          </w:p>
        </w:tc>
      </w:tr>
      <w:tr w:rsidR="00C7275F" w:rsidRPr="009D3648" w14:paraId="428292AF" w14:textId="77777777" w:rsidTr="009D3648">
        <w:tblPrEx>
          <w:tblCellMar>
            <w:top w:w="0" w:type="dxa"/>
            <w:bottom w:w="0" w:type="dxa"/>
          </w:tblCellMar>
        </w:tblPrEx>
        <w:tc>
          <w:tcPr>
            <w:tcW w:w="32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E57FCDD"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 xml:space="preserve">KPI basis: </w:t>
            </w:r>
            <w:proofErr w:type="spellStart"/>
            <w:r w:rsidRPr="009D3648">
              <w:rPr>
                <w:rFonts w:ascii="Calibri" w:hAnsi="Calibri" w:cs="Calibri"/>
                <w:b/>
                <w:bCs/>
                <w:color w:val="000000"/>
                <w:sz w:val="22"/>
                <w:szCs w:val="22"/>
                <w:lang w:val="en-GB"/>
              </w:rPr>
              <w:t>CapEx</w:t>
            </w:r>
            <w:proofErr w:type="spellEnd"/>
          </w:p>
        </w:tc>
        <w:tc>
          <w:tcPr>
            <w:tcW w:w="17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208C7FA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909190E" w14:textId="77777777" w:rsidR="00C7275F" w:rsidRPr="009D3648" w:rsidRDefault="00C7275F">
            <w:pPr>
              <w:jc w:val="center"/>
              <w:rPr>
                <w:rFonts w:ascii="Calibri" w:hAnsi="Calibri" w:cs="Calibri"/>
                <w:sz w:val="22"/>
                <w:szCs w:val="22"/>
                <w:lang w:val="en-GB"/>
              </w:rPr>
            </w:pP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7D13188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7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0A2040F" w14:textId="77777777" w:rsidR="00C7275F" w:rsidRPr="009D3648" w:rsidRDefault="00C7275F">
            <w:pPr>
              <w:jc w:val="center"/>
              <w:rPr>
                <w:rFonts w:ascii="Calibri" w:hAnsi="Calibri" w:cs="Calibri"/>
                <w:sz w:val="22"/>
                <w:szCs w:val="22"/>
                <w:lang w:val="en-GB"/>
              </w:rPr>
            </w:pPr>
          </w:p>
        </w:tc>
      </w:tr>
    </w:tbl>
    <w:p w14:paraId="2642183F" w14:textId="77777777" w:rsidR="00C7275F" w:rsidRPr="009D3648" w:rsidRDefault="00C7275F">
      <w:pPr>
        <w:rPr>
          <w:rFonts w:ascii="Calibri" w:hAnsi="Calibri" w:cs="Calibri"/>
          <w:sz w:val="22"/>
          <w:szCs w:val="22"/>
          <w:lang w:val="en-GB"/>
        </w:rPr>
      </w:pPr>
    </w:p>
    <w:p w14:paraId="50A8E61A" w14:textId="1B4EF163" w:rsidR="00905AB4" w:rsidRDefault="00932CE0" w:rsidP="009D3648">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The breakdown of the numerator by objective shows that climate change mitigation is the objective that contributes most to alignment. It is also the objective most widely reported by companies. On a turnover basis, of the €2.9bn of aligned assets, 95% are aligned with the climate change mitigation objective, and more than a third of </w:t>
      </w:r>
      <w:proofErr w:type="gramStart"/>
      <w:r w:rsidRPr="009D3648">
        <w:rPr>
          <w:rFonts w:ascii="Calibri" w:hAnsi="Calibri" w:cs="Calibri"/>
          <w:sz w:val="22"/>
          <w:szCs w:val="22"/>
          <w:lang w:val="en-GB"/>
        </w:rPr>
        <w:t>these asset</w:t>
      </w:r>
      <w:proofErr w:type="gramEnd"/>
      <w:r w:rsidRPr="009D3648">
        <w:rPr>
          <w:rFonts w:ascii="Calibri" w:hAnsi="Calibri" w:cs="Calibri"/>
          <w:sz w:val="22"/>
          <w:szCs w:val="22"/>
          <w:lang w:val="en-GB"/>
        </w:rPr>
        <w:t xml:space="preserve"> amounts relate to activities considered enabling (facilitating the transition) under the Taxonomy Regulation.</w:t>
      </w:r>
    </w:p>
    <w:p w14:paraId="357FB43A" w14:textId="77777777" w:rsidR="00905AB4" w:rsidRDefault="00905AB4" w:rsidP="009D3648">
      <w:pPr>
        <w:spacing w:before="80" w:after="120"/>
        <w:jc w:val="both"/>
        <w:rPr>
          <w:rFonts w:ascii="Calibri" w:hAnsi="Calibri" w:cs="Calibri"/>
          <w:sz w:val="22"/>
          <w:szCs w:val="22"/>
          <w:lang w:val="en-GB"/>
        </w:rPr>
      </w:pPr>
    </w:p>
    <w:p w14:paraId="37570CF5" w14:textId="77777777" w:rsidR="00905AB4" w:rsidRDefault="00905AB4" w:rsidP="009D3648">
      <w:pPr>
        <w:spacing w:before="80" w:after="120"/>
        <w:jc w:val="both"/>
        <w:rPr>
          <w:rFonts w:ascii="Calibri" w:hAnsi="Calibri" w:cs="Calibri"/>
          <w:sz w:val="22"/>
          <w:szCs w:val="22"/>
          <w:lang w:val="en-GB"/>
        </w:rPr>
      </w:pPr>
    </w:p>
    <w:p w14:paraId="036F6463" w14:textId="77777777" w:rsidR="00905AB4" w:rsidRDefault="00905AB4" w:rsidP="009D3648">
      <w:pPr>
        <w:spacing w:before="80" w:after="120"/>
        <w:jc w:val="both"/>
        <w:rPr>
          <w:rFonts w:ascii="Calibri" w:hAnsi="Calibri" w:cs="Calibri"/>
          <w:sz w:val="22"/>
          <w:szCs w:val="22"/>
          <w:lang w:val="en-GB"/>
        </w:rPr>
      </w:pPr>
    </w:p>
    <w:p w14:paraId="131D67FD" w14:textId="77777777" w:rsidR="00905AB4" w:rsidRDefault="00905AB4" w:rsidP="009D3648">
      <w:pPr>
        <w:spacing w:before="80" w:after="120"/>
        <w:jc w:val="both"/>
        <w:rPr>
          <w:rFonts w:ascii="Calibri" w:hAnsi="Calibri" w:cs="Calibri"/>
          <w:sz w:val="22"/>
          <w:szCs w:val="22"/>
          <w:lang w:val="en-GB"/>
        </w:rPr>
      </w:pPr>
    </w:p>
    <w:p w14:paraId="3E8F1E15" w14:textId="3946B29C" w:rsidR="00905AB4" w:rsidRDefault="00905AB4">
      <w:pPr>
        <w:rPr>
          <w:rFonts w:ascii="Calibri" w:hAnsi="Calibri" w:cs="Calibri"/>
          <w:sz w:val="22"/>
          <w:szCs w:val="22"/>
          <w:lang w:val="en-GB"/>
        </w:rPr>
      </w:pPr>
    </w:p>
    <w:p w14:paraId="07E2E7BE" w14:textId="1B108078" w:rsidR="00905AB4" w:rsidRPr="00905AB4" w:rsidRDefault="00905AB4">
      <w:pPr>
        <w:rPr>
          <w:rFonts w:ascii="Calibri" w:hAnsi="Calibri" w:cs="Calibri"/>
          <w:sz w:val="22"/>
          <w:szCs w:val="22"/>
          <w:lang w:val="en-GB"/>
        </w:rPr>
      </w:pPr>
      <w:r w:rsidRPr="00905AB4">
        <w:rPr>
          <w:rFonts w:ascii="Calibri" w:hAnsi="Calibri" w:cs="Calibri"/>
          <w:sz w:val="22"/>
          <w:szCs w:val="22"/>
          <w:lang w:val="en-GB"/>
        </w:rPr>
        <w:t xml:space="preserve">Here is the additional information relating to the </w:t>
      </w:r>
      <w:proofErr w:type="gramStart"/>
      <w:r w:rsidRPr="00905AB4">
        <w:rPr>
          <w:rFonts w:ascii="Calibri" w:hAnsi="Calibri" w:cs="Calibri"/>
          <w:sz w:val="22"/>
          <w:szCs w:val="22"/>
          <w:lang w:val="en-GB"/>
        </w:rPr>
        <w:t>numerator</w:t>
      </w:r>
      <w:r>
        <w:rPr>
          <w:rFonts w:ascii="Calibri" w:hAnsi="Calibri" w:cs="Calibri"/>
          <w:sz w:val="22"/>
          <w:szCs w:val="22"/>
          <w:lang w:val="en-GB"/>
        </w:rPr>
        <w:t xml:space="preserve"> </w:t>
      </w:r>
      <w:r w:rsidRPr="00905AB4">
        <w:rPr>
          <w:rFonts w:ascii="Calibri" w:hAnsi="Calibri" w:cs="Calibri"/>
          <w:sz w:val="22"/>
          <w:szCs w:val="22"/>
          <w:lang w:val="en-GB"/>
        </w:rPr>
        <w:t>:</w:t>
      </w:r>
      <w:proofErr w:type="gramEnd"/>
    </w:p>
    <w:tbl>
      <w:tblPr>
        <w:tblpPr w:leftFromText="141" w:rightFromText="141" w:vertAnchor="text" w:horzAnchor="margin" w:tblpY="207"/>
        <w:tblW w:w="103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4A0" w:firstRow="1" w:lastRow="0" w:firstColumn="1" w:lastColumn="0" w:noHBand="0" w:noVBand="1"/>
      </w:tblPr>
      <w:tblGrid>
        <w:gridCol w:w="5350"/>
        <w:gridCol w:w="2496"/>
        <w:gridCol w:w="2497"/>
      </w:tblGrid>
      <w:tr w:rsidR="00905AB4" w:rsidRPr="009D3648" w14:paraId="6B33FEF2" w14:textId="77777777" w:rsidTr="00905AB4">
        <w:tblPrEx>
          <w:tblCellMar>
            <w:top w:w="0" w:type="dxa"/>
            <w:bottom w:w="0" w:type="dxa"/>
          </w:tblCellMar>
        </w:tblPrEx>
        <w:tc>
          <w:tcPr>
            <w:tcW w:w="5350" w:type="dxa"/>
            <w:shd w:val="clear" w:color="auto" w:fill="1F4E79"/>
            <w:tcMar>
              <w:top w:w="60" w:type="dxa"/>
              <w:left w:w="100" w:type="dxa"/>
              <w:bottom w:w="60" w:type="dxa"/>
              <w:right w:w="100" w:type="dxa"/>
            </w:tcMar>
            <w:vAlign w:val="center"/>
          </w:tcPr>
          <w:p w14:paraId="1C4D83B9" w14:textId="77777777" w:rsidR="00905AB4" w:rsidRPr="009D3648" w:rsidRDefault="00905AB4" w:rsidP="00905AB4">
            <w:pPr>
              <w:jc w:val="center"/>
              <w:rPr>
                <w:rFonts w:ascii="Calibri" w:hAnsi="Calibri" w:cs="Calibri"/>
                <w:b/>
                <w:bCs/>
                <w:color w:val="000000"/>
                <w:sz w:val="22"/>
                <w:szCs w:val="22"/>
                <w:lang w:val="en-GB"/>
              </w:rPr>
            </w:pPr>
          </w:p>
        </w:tc>
        <w:tc>
          <w:tcPr>
            <w:tcW w:w="2496" w:type="dxa"/>
            <w:shd w:val="clear" w:color="auto" w:fill="1F4E79"/>
            <w:tcMar>
              <w:top w:w="60" w:type="dxa"/>
              <w:left w:w="100" w:type="dxa"/>
              <w:bottom w:w="60" w:type="dxa"/>
              <w:right w:w="100" w:type="dxa"/>
            </w:tcMar>
            <w:vAlign w:val="center"/>
          </w:tcPr>
          <w:p w14:paraId="64C32001"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b/>
                <w:bCs/>
                <w:color w:val="FFFFFF"/>
                <w:sz w:val="22"/>
                <w:szCs w:val="22"/>
                <w:lang w:val="en-GB"/>
              </w:rPr>
              <w:t>Reported figure 2025</w:t>
            </w:r>
          </w:p>
        </w:tc>
        <w:tc>
          <w:tcPr>
            <w:tcW w:w="2497" w:type="dxa"/>
            <w:shd w:val="clear" w:color="auto" w:fill="1F4E79"/>
            <w:tcMar>
              <w:top w:w="60" w:type="dxa"/>
              <w:left w:w="100" w:type="dxa"/>
              <w:bottom w:w="60" w:type="dxa"/>
              <w:right w:w="100" w:type="dxa"/>
            </w:tcMar>
            <w:vAlign w:val="center"/>
          </w:tcPr>
          <w:p w14:paraId="2CAFB15D"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b/>
                <w:bCs/>
                <w:color w:val="FFFFFF"/>
                <w:sz w:val="22"/>
                <w:szCs w:val="22"/>
                <w:lang w:val="en-GB"/>
              </w:rPr>
              <w:t>Reported figure 2024</w:t>
            </w:r>
          </w:p>
        </w:tc>
      </w:tr>
      <w:tr w:rsidR="00905AB4" w:rsidRPr="009D3648" w14:paraId="6CF82280"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44C872AA"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non-financial undertakings:</w:t>
            </w:r>
          </w:p>
        </w:tc>
        <w:tc>
          <w:tcPr>
            <w:tcW w:w="2496" w:type="dxa"/>
            <w:shd w:val="clear" w:color="auto" w:fill="FFFFFF" w:themeFill="background1"/>
            <w:tcMar>
              <w:top w:w="60" w:type="dxa"/>
              <w:left w:w="100" w:type="dxa"/>
              <w:bottom w:w="60" w:type="dxa"/>
              <w:right w:w="100" w:type="dxa"/>
            </w:tcMar>
            <w:vAlign w:val="center"/>
          </w:tcPr>
          <w:p w14:paraId="58E3BB33"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33916C65" w14:textId="77777777" w:rsidR="00905AB4" w:rsidRPr="009D3648" w:rsidRDefault="00905AB4" w:rsidP="00905AB4">
            <w:pPr>
              <w:rPr>
                <w:rFonts w:ascii="Calibri" w:hAnsi="Calibri" w:cs="Calibri"/>
                <w:sz w:val="22"/>
                <w:szCs w:val="22"/>
                <w:lang w:val="en-GB"/>
              </w:rPr>
            </w:pPr>
          </w:p>
        </w:tc>
      </w:tr>
      <w:tr w:rsidR="00905AB4" w:rsidRPr="009D3648" w14:paraId="6E01D73E"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0650711B"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Share of exposures, Taxonomy-aligned, to non-financial undertakings subject to Articles 19a and 29a of Directive 2013/34/EU, relative to total assets covered by the KPI:</w:t>
            </w:r>
          </w:p>
        </w:tc>
        <w:tc>
          <w:tcPr>
            <w:tcW w:w="2496" w:type="dxa"/>
            <w:shd w:val="clear" w:color="auto" w:fill="FFFFFF" w:themeFill="background1"/>
            <w:tcMar>
              <w:top w:w="60" w:type="dxa"/>
              <w:left w:w="100" w:type="dxa"/>
              <w:bottom w:w="60" w:type="dxa"/>
              <w:right w:w="100" w:type="dxa"/>
            </w:tcMar>
            <w:vAlign w:val="center"/>
          </w:tcPr>
          <w:p w14:paraId="570FBBCD"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11A47AA5" w14:textId="77777777" w:rsidR="00905AB4" w:rsidRPr="009D3648" w:rsidRDefault="00905AB4" w:rsidP="00905AB4">
            <w:pPr>
              <w:rPr>
                <w:rFonts w:ascii="Calibri" w:hAnsi="Calibri" w:cs="Calibri"/>
                <w:sz w:val="22"/>
                <w:szCs w:val="22"/>
                <w:lang w:val="en-GB"/>
              </w:rPr>
            </w:pPr>
          </w:p>
        </w:tc>
      </w:tr>
      <w:tr w:rsidR="00905AB4" w:rsidRPr="009D3648" w14:paraId="0A712966"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57AB546B"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On a turnover basis</w:t>
            </w:r>
          </w:p>
        </w:tc>
        <w:tc>
          <w:tcPr>
            <w:tcW w:w="2496" w:type="dxa"/>
            <w:shd w:val="clear" w:color="auto" w:fill="FFFFFF" w:themeFill="background1"/>
            <w:tcMar>
              <w:top w:w="60" w:type="dxa"/>
              <w:left w:w="100" w:type="dxa"/>
              <w:bottom w:w="60" w:type="dxa"/>
              <w:right w:w="100" w:type="dxa"/>
            </w:tcMar>
            <w:vAlign w:val="center"/>
          </w:tcPr>
          <w:p w14:paraId="62D2601D"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51%</w:t>
            </w:r>
          </w:p>
        </w:tc>
        <w:tc>
          <w:tcPr>
            <w:tcW w:w="2497" w:type="dxa"/>
            <w:shd w:val="clear" w:color="auto" w:fill="FFFFFF" w:themeFill="background1"/>
            <w:tcMar>
              <w:top w:w="60" w:type="dxa"/>
              <w:left w:w="100" w:type="dxa"/>
              <w:bottom w:w="60" w:type="dxa"/>
              <w:right w:w="100" w:type="dxa"/>
            </w:tcMar>
            <w:vAlign w:val="center"/>
          </w:tcPr>
          <w:p w14:paraId="3BBE312C"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56%</w:t>
            </w:r>
          </w:p>
        </w:tc>
      </w:tr>
      <w:tr w:rsidR="00905AB4" w:rsidRPr="009D3648" w14:paraId="5B3EE293"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324DDB50"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 xml:space="preserve">On a </w:t>
            </w:r>
            <w:proofErr w:type="spellStart"/>
            <w:r w:rsidRPr="009D3648">
              <w:rPr>
                <w:rFonts w:ascii="Calibri" w:hAnsi="Calibri" w:cs="Calibri"/>
                <w:b/>
                <w:bCs/>
                <w:color w:val="000000"/>
                <w:sz w:val="22"/>
                <w:szCs w:val="22"/>
                <w:lang w:val="en-GB"/>
              </w:rPr>
              <w:t>CapEx</w:t>
            </w:r>
            <w:proofErr w:type="spellEnd"/>
            <w:r w:rsidRPr="009D3648">
              <w:rPr>
                <w:rFonts w:ascii="Calibri" w:hAnsi="Calibri" w:cs="Calibri"/>
                <w:b/>
                <w:bCs/>
                <w:color w:val="000000"/>
                <w:sz w:val="22"/>
                <w:szCs w:val="22"/>
                <w:lang w:val="en-GB"/>
              </w:rPr>
              <w:t xml:space="preserve"> basis</w:t>
            </w:r>
          </w:p>
        </w:tc>
        <w:tc>
          <w:tcPr>
            <w:tcW w:w="2496" w:type="dxa"/>
            <w:shd w:val="clear" w:color="auto" w:fill="FFFFFF" w:themeFill="background1"/>
            <w:tcMar>
              <w:top w:w="60" w:type="dxa"/>
              <w:left w:w="100" w:type="dxa"/>
              <w:bottom w:w="60" w:type="dxa"/>
              <w:right w:w="100" w:type="dxa"/>
            </w:tcMar>
            <w:vAlign w:val="center"/>
          </w:tcPr>
          <w:p w14:paraId="6FE35ACF"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56%</w:t>
            </w:r>
          </w:p>
        </w:tc>
        <w:tc>
          <w:tcPr>
            <w:tcW w:w="2497" w:type="dxa"/>
            <w:shd w:val="clear" w:color="auto" w:fill="FFFFFF" w:themeFill="background1"/>
            <w:tcMar>
              <w:top w:w="60" w:type="dxa"/>
              <w:left w:w="100" w:type="dxa"/>
              <w:bottom w:w="60" w:type="dxa"/>
              <w:right w:w="100" w:type="dxa"/>
            </w:tcMar>
            <w:vAlign w:val="center"/>
          </w:tcPr>
          <w:p w14:paraId="001FB3BC"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62%</w:t>
            </w:r>
          </w:p>
        </w:tc>
      </w:tr>
      <w:tr w:rsidR="00905AB4" w:rsidRPr="009D3648" w14:paraId="7AE8AEB0"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168712D9"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exposures, Taxonomy-aligned, to non-financial undertakings subject to Articles 19a and 29a of Directive 2013/34/EU:</w:t>
            </w:r>
          </w:p>
        </w:tc>
        <w:tc>
          <w:tcPr>
            <w:tcW w:w="2496" w:type="dxa"/>
            <w:shd w:val="clear" w:color="auto" w:fill="FFFFFF" w:themeFill="background1"/>
            <w:tcMar>
              <w:top w:w="60" w:type="dxa"/>
              <w:left w:w="100" w:type="dxa"/>
              <w:bottom w:w="60" w:type="dxa"/>
              <w:right w:w="100" w:type="dxa"/>
            </w:tcMar>
            <w:vAlign w:val="center"/>
          </w:tcPr>
          <w:p w14:paraId="56EAD0D8"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095AC949" w14:textId="77777777" w:rsidR="00905AB4" w:rsidRPr="009D3648" w:rsidRDefault="00905AB4" w:rsidP="00905AB4">
            <w:pPr>
              <w:rPr>
                <w:rFonts w:ascii="Calibri" w:hAnsi="Calibri" w:cs="Calibri"/>
                <w:sz w:val="22"/>
                <w:szCs w:val="22"/>
                <w:lang w:val="en-GB"/>
              </w:rPr>
            </w:pPr>
          </w:p>
        </w:tc>
      </w:tr>
      <w:tr w:rsidR="00905AB4" w:rsidRPr="009D3648" w14:paraId="6FF1A3B4"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4B82867B"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On a turnover basis</w:t>
            </w:r>
          </w:p>
        </w:tc>
        <w:tc>
          <w:tcPr>
            <w:tcW w:w="2496" w:type="dxa"/>
            <w:shd w:val="clear" w:color="auto" w:fill="FFFFFF" w:themeFill="background1"/>
            <w:tcMar>
              <w:top w:w="60" w:type="dxa"/>
              <w:left w:w="100" w:type="dxa"/>
              <w:bottom w:w="60" w:type="dxa"/>
              <w:right w:w="100" w:type="dxa"/>
            </w:tcMar>
            <w:vAlign w:val="center"/>
          </w:tcPr>
          <w:p w14:paraId="696DEFED"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1,507,604,173</w:t>
            </w:r>
          </w:p>
        </w:tc>
        <w:tc>
          <w:tcPr>
            <w:tcW w:w="2497" w:type="dxa"/>
            <w:shd w:val="clear" w:color="auto" w:fill="FFFFFF" w:themeFill="background1"/>
            <w:tcMar>
              <w:top w:w="60" w:type="dxa"/>
              <w:left w:w="100" w:type="dxa"/>
              <w:bottom w:w="60" w:type="dxa"/>
              <w:right w:w="100" w:type="dxa"/>
            </w:tcMar>
            <w:vAlign w:val="center"/>
          </w:tcPr>
          <w:p w14:paraId="399A4FBC"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1,339,671,997</w:t>
            </w:r>
          </w:p>
        </w:tc>
      </w:tr>
      <w:tr w:rsidR="00905AB4" w:rsidRPr="009D3648" w14:paraId="5C58EDBD"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24222A60"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 xml:space="preserve">On a </w:t>
            </w:r>
            <w:proofErr w:type="spellStart"/>
            <w:r w:rsidRPr="009D3648">
              <w:rPr>
                <w:rFonts w:ascii="Calibri" w:hAnsi="Calibri" w:cs="Calibri"/>
                <w:b/>
                <w:bCs/>
                <w:color w:val="000000"/>
                <w:sz w:val="22"/>
                <w:szCs w:val="22"/>
                <w:lang w:val="en-GB"/>
              </w:rPr>
              <w:t>CapEx</w:t>
            </w:r>
            <w:proofErr w:type="spellEnd"/>
            <w:r w:rsidRPr="009D3648">
              <w:rPr>
                <w:rFonts w:ascii="Calibri" w:hAnsi="Calibri" w:cs="Calibri"/>
                <w:b/>
                <w:bCs/>
                <w:color w:val="000000"/>
                <w:sz w:val="22"/>
                <w:szCs w:val="22"/>
                <w:lang w:val="en-GB"/>
              </w:rPr>
              <w:t xml:space="preserve"> basis</w:t>
            </w:r>
          </w:p>
        </w:tc>
        <w:tc>
          <w:tcPr>
            <w:tcW w:w="2496" w:type="dxa"/>
            <w:shd w:val="clear" w:color="auto" w:fill="FFFFFF" w:themeFill="background1"/>
            <w:tcMar>
              <w:top w:w="60" w:type="dxa"/>
              <w:left w:w="100" w:type="dxa"/>
              <w:bottom w:w="60" w:type="dxa"/>
              <w:right w:w="100" w:type="dxa"/>
            </w:tcMar>
            <w:vAlign w:val="center"/>
          </w:tcPr>
          <w:p w14:paraId="4DC073A0"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2,007,750,952</w:t>
            </w:r>
          </w:p>
        </w:tc>
        <w:tc>
          <w:tcPr>
            <w:tcW w:w="2497" w:type="dxa"/>
            <w:shd w:val="clear" w:color="auto" w:fill="FFFFFF" w:themeFill="background1"/>
            <w:tcMar>
              <w:top w:w="60" w:type="dxa"/>
              <w:left w:w="100" w:type="dxa"/>
              <w:bottom w:w="60" w:type="dxa"/>
              <w:right w:w="100" w:type="dxa"/>
            </w:tcMar>
            <w:vAlign w:val="center"/>
          </w:tcPr>
          <w:p w14:paraId="6B20974A"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1,839,490,995</w:t>
            </w:r>
          </w:p>
        </w:tc>
      </w:tr>
      <w:tr w:rsidR="00905AB4" w:rsidRPr="009D3648" w14:paraId="2EF45176"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5AA54F3D"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financial undertakings:</w:t>
            </w:r>
          </w:p>
        </w:tc>
        <w:tc>
          <w:tcPr>
            <w:tcW w:w="2496" w:type="dxa"/>
            <w:shd w:val="clear" w:color="auto" w:fill="FFFFFF" w:themeFill="background1"/>
            <w:tcMar>
              <w:top w:w="60" w:type="dxa"/>
              <w:left w:w="100" w:type="dxa"/>
              <w:bottom w:w="60" w:type="dxa"/>
              <w:right w:w="100" w:type="dxa"/>
            </w:tcMar>
            <w:vAlign w:val="center"/>
          </w:tcPr>
          <w:p w14:paraId="12DDC05D"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60296429" w14:textId="77777777" w:rsidR="00905AB4" w:rsidRPr="009D3648" w:rsidRDefault="00905AB4" w:rsidP="00905AB4">
            <w:pPr>
              <w:rPr>
                <w:rFonts w:ascii="Calibri" w:hAnsi="Calibri" w:cs="Calibri"/>
                <w:sz w:val="22"/>
                <w:szCs w:val="22"/>
                <w:lang w:val="en-GB"/>
              </w:rPr>
            </w:pPr>
          </w:p>
        </w:tc>
      </w:tr>
      <w:tr w:rsidR="00905AB4" w:rsidRPr="009D3648" w14:paraId="27E730E9"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6DE5EA2A"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Share of exposures, Taxonomy-aligned, to financial undertakings subject to Articles 19a and 29a of Directive 2013/34/EU, relative to total assets covered by the KPI:</w:t>
            </w:r>
          </w:p>
        </w:tc>
        <w:tc>
          <w:tcPr>
            <w:tcW w:w="2496" w:type="dxa"/>
            <w:shd w:val="clear" w:color="auto" w:fill="FFFFFF" w:themeFill="background1"/>
            <w:tcMar>
              <w:top w:w="60" w:type="dxa"/>
              <w:left w:w="100" w:type="dxa"/>
              <w:bottom w:w="60" w:type="dxa"/>
              <w:right w:w="100" w:type="dxa"/>
            </w:tcMar>
            <w:vAlign w:val="center"/>
          </w:tcPr>
          <w:p w14:paraId="28554658"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6A7865D3" w14:textId="77777777" w:rsidR="00905AB4" w:rsidRPr="009D3648" w:rsidRDefault="00905AB4" w:rsidP="00905AB4">
            <w:pPr>
              <w:rPr>
                <w:rFonts w:ascii="Calibri" w:hAnsi="Calibri" w:cs="Calibri"/>
                <w:sz w:val="22"/>
                <w:szCs w:val="22"/>
                <w:lang w:val="en-GB"/>
              </w:rPr>
            </w:pPr>
          </w:p>
        </w:tc>
      </w:tr>
      <w:tr w:rsidR="00905AB4" w:rsidRPr="009D3648" w14:paraId="04B22A19"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6B4C2BA4"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On a turnover basis</w:t>
            </w:r>
          </w:p>
        </w:tc>
        <w:tc>
          <w:tcPr>
            <w:tcW w:w="2496" w:type="dxa"/>
            <w:shd w:val="clear" w:color="auto" w:fill="FFFFFF" w:themeFill="background1"/>
            <w:tcMar>
              <w:top w:w="60" w:type="dxa"/>
              <w:left w:w="100" w:type="dxa"/>
              <w:bottom w:w="60" w:type="dxa"/>
              <w:right w:w="100" w:type="dxa"/>
            </w:tcMar>
            <w:vAlign w:val="center"/>
          </w:tcPr>
          <w:p w14:paraId="643319FA"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19%</w:t>
            </w:r>
          </w:p>
        </w:tc>
        <w:tc>
          <w:tcPr>
            <w:tcW w:w="2497" w:type="dxa"/>
            <w:shd w:val="clear" w:color="auto" w:fill="FFFFFF" w:themeFill="background1"/>
            <w:tcMar>
              <w:top w:w="60" w:type="dxa"/>
              <w:left w:w="100" w:type="dxa"/>
              <w:bottom w:w="60" w:type="dxa"/>
              <w:right w:w="100" w:type="dxa"/>
            </w:tcMar>
            <w:vAlign w:val="center"/>
          </w:tcPr>
          <w:p w14:paraId="17787F23"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18%</w:t>
            </w:r>
          </w:p>
        </w:tc>
      </w:tr>
      <w:tr w:rsidR="00905AB4" w:rsidRPr="009D3648" w14:paraId="2C290ABA"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4205C664"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 xml:space="preserve">On a </w:t>
            </w:r>
            <w:proofErr w:type="spellStart"/>
            <w:r w:rsidRPr="009D3648">
              <w:rPr>
                <w:rFonts w:ascii="Calibri" w:hAnsi="Calibri" w:cs="Calibri"/>
                <w:b/>
                <w:bCs/>
                <w:color w:val="000000"/>
                <w:sz w:val="22"/>
                <w:szCs w:val="22"/>
                <w:lang w:val="en-GB"/>
              </w:rPr>
              <w:t>CapEx</w:t>
            </w:r>
            <w:proofErr w:type="spellEnd"/>
            <w:r w:rsidRPr="009D3648">
              <w:rPr>
                <w:rFonts w:ascii="Calibri" w:hAnsi="Calibri" w:cs="Calibri"/>
                <w:b/>
                <w:bCs/>
                <w:color w:val="000000"/>
                <w:sz w:val="22"/>
                <w:szCs w:val="22"/>
                <w:lang w:val="en-GB"/>
              </w:rPr>
              <w:t xml:space="preserve"> basis</w:t>
            </w:r>
          </w:p>
        </w:tc>
        <w:tc>
          <w:tcPr>
            <w:tcW w:w="2496" w:type="dxa"/>
            <w:shd w:val="clear" w:color="auto" w:fill="FFFFFF" w:themeFill="background1"/>
            <w:tcMar>
              <w:top w:w="60" w:type="dxa"/>
              <w:left w:w="100" w:type="dxa"/>
              <w:bottom w:w="60" w:type="dxa"/>
              <w:right w:w="100" w:type="dxa"/>
            </w:tcMar>
            <w:vAlign w:val="center"/>
          </w:tcPr>
          <w:p w14:paraId="7298C4D7"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20%</w:t>
            </w:r>
          </w:p>
        </w:tc>
        <w:tc>
          <w:tcPr>
            <w:tcW w:w="2497" w:type="dxa"/>
            <w:shd w:val="clear" w:color="auto" w:fill="FFFFFF" w:themeFill="background1"/>
            <w:tcMar>
              <w:top w:w="60" w:type="dxa"/>
              <w:left w:w="100" w:type="dxa"/>
              <w:bottom w:w="60" w:type="dxa"/>
              <w:right w:w="100" w:type="dxa"/>
            </w:tcMar>
            <w:vAlign w:val="center"/>
          </w:tcPr>
          <w:p w14:paraId="69C45620"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18%</w:t>
            </w:r>
          </w:p>
        </w:tc>
      </w:tr>
      <w:tr w:rsidR="00905AB4" w:rsidRPr="009D3648" w14:paraId="04D3B935"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3D8D5A23"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exposures, Taxonomy-aligned, to financial undertakings subject to Articles 19a and 29a of Directive 2013/34/EU:</w:t>
            </w:r>
          </w:p>
        </w:tc>
        <w:tc>
          <w:tcPr>
            <w:tcW w:w="2496" w:type="dxa"/>
            <w:shd w:val="clear" w:color="auto" w:fill="FFFFFF" w:themeFill="background1"/>
            <w:tcMar>
              <w:top w:w="60" w:type="dxa"/>
              <w:left w:w="100" w:type="dxa"/>
              <w:bottom w:w="60" w:type="dxa"/>
              <w:right w:w="100" w:type="dxa"/>
            </w:tcMar>
            <w:vAlign w:val="center"/>
          </w:tcPr>
          <w:p w14:paraId="72C7BF03"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73F7CF2C" w14:textId="77777777" w:rsidR="00905AB4" w:rsidRPr="009D3648" w:rsidRDefault="00905AB4" w:rsidP="00905AB4">
            <w:pPr>
              <w:rPr>
                <w:rFonts w:ascii="Calibri" w:hAnsi="Calibri" w:cs="Calibri"/>
                <w:sz w:val="22"/>
                <w:szCs w:val="22"/>
                <w:lang w:val="en-GB"/>
              </w:rPr>
            </w:pPr>
          </w:p>
        </w:tc>
      </w:tr>
      <w:tr w:rsidR="00905AB4" w:rsidRPr="009D3648" w14:paraId="127FE888"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4974E139"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On a turnover basis</w:t>
            </w:r>
          </w:p>
        </w:tc>
        <w:tc>
          <w:tcPr>
            <w:tcW w:w="2496" w:type="dxa"/>
            <w:shd w:val="clear" w:color="auto" w:fill="FFFFFF" w:themeFill="background1"/>
            <w:tcMar>
              <w:top w:w="60" w:type="dxa"/>
              <w:left w:w="100" w:type="dxa"/>
              <w:bottom w:w="60" w:type="dxa"/>
              <w:right w:w="100" w:type="dxa"/>
            </w:tcMar>
            <w:vAlign w:val="center"/>
          </w:tcPr>
          <w:p w14:paraId="23F11FAD"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567,315,337</w:t>
            </w:r>
          </w:p>
        </w:tc>
        <w:tc>
          <w:tcPr>
            <w:tcW w:w="2497" w:type="dxa"/>
            <w:shd w:val="clear" w:color="auto" w:fill="FFFFFF" w:themeFill="background1"/>
            <w:tcMar>
              <w:top w:w="60" w:type="dxa"/>
              <w:left w:w="100" w:type="dxa"/>
              <w:bottom w:w="60" w:type="dxa"/>
              <w:right w:w="100" w:type="dxa"/>
            </w:tcMar>
            <w:vAlign w:val="center"/>
          </w:tcPr>
          <w:p w14:paraId="7458ECC3"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423,123,177</w:t>
            </w:r>
          </w:p>
        </w:tc>
      </w:tr>
      <w:tr w:rsidR="00905AB4" w:rsidRPr="009D3648" w14:paraId="12564B22"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50086E44"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 xml:space="preserve">On a </w:t>
            </w:r>
            <w:proofErr w:type="spellStart"/>
            <w:r w:rsidRPr="009D3648">
              <w:rPr>
                <w:rFonts w:ascii="Calibri" w:hAnsi="Calibri" w:cs="Calibri"/>
                <w:b/>
                <w:bCs/>
                <w:color w:val="000000"/>
                <w:sz w:val="22"/>
                <w:szCs w:val="22"/>
                <w:lang w:val="en-GB"/>
              </w:rPr>
              <w:t>CapEx</w:t>
            </w:r>
            <w:proofErr w:type="spellEnd"/>
            <w:r w:rsidRPr="009D3648">
              <w:rPr>
                <w:rFonts w:ascii="Calibri" w:hAnsi="Calibri" w:cs="Calibri"/>
                <w:b/>
                <w:bCs/>
                <w:color w:val="000000"/>
                <w:sz w:val="22"/>
                <w:szCs w:val="22"/>
                <w:lang w:val="en-GB"/>
              </w:rPr>
              <w:t xml:space="preserve"> basis</w:t>
            </w:r>
          </w:p>
        </w:tc>
        <w:tc>
          <w:tcPr>
            <w:tcW w:w="2496" w:type="dxa"/>
            <w:shd w:val="clear" w:color="auto" w:fill="FFFFFF" w:themeFill="background1"/>
            <w:tcMar>
              <w:top w:w="60" w:type="dxa"/>
              <w:left w:w="100" w:type="dxa"/>
              <w:bottom w:w="60" w:type="dxa"/>
              <w:right w:w="100" w:type="dxa"/>
            </w:tcMar>
            <w:vAlign w:val="center"/>
          </w:tcPr>
          <w:p w14:paraId="6E7AFDC4"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705,274,322</w:t>
            </w:r>
          </w:p>
        </w:tc>
        <w:tc>
          <w:tcPr>
            <w:tcW w:w="2497" w:type="dxa"/>
            <w:shd w:val="clear" w:color="auto" w:fill="FFFFFF" w:themeFill="background1"/>
            <w:tcMar>
              <w:top w:w="60" w:type="dxa"/>
              <w:left w:w="100" w:type="dxa"/>
              <w:bottom w:w="60" w:type="dxa"/>
              <w:right w:w="100" w:type="dxa"/>
            </w:tcMar>
            <w:vAlign w:val="center"/>
          </w:tcPr>
          <w:p w14:paraId="7F664AF3"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525,020,450</w:t>
            </w:r>
          </w:p>
        </w:tc>
      </w:tr>
    </w:tbl>
    <w:p w14:paraId="7A9D5936" w14:textId="77777777" w:rsidR="00905AB4" w:rsidRDefault="00905AB4" w:rsidP="009D3648">
      <w:pPr>
        <w:spacing w:before="80" w:after="120"/>
        <w:jc w:val="both"/>
        <w:rPr>
          <w:rFonts w:ascii="Calibri" w:hAnsi="Calibri" w:cs="Calibri"/>
          <w:sz w:val="22"/>
          <w:szCs w:val="22"/>
          <w:lang w:val="en-GB"/>
        </w:rPr>
      </w:pPr>
    </w:p>
    <w:tbl>
      <w:tblPr>
        <w:tblpPr w:leftFromText="141" w:rightFromText="141" w:vertAnchor="page" w:horzAnchor="margin" w:tblpY="925"/>
        <w:tblW w:w="103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4A0" w:firstRow="1" w:lastRow="0" w:firstColumn="1" w:lastColumn="0" w:noHBand="0" w:noVBand="1"/>
      </w:tblPr>
      <w:tblGrid>
        <w:gridCol w:w="5350"/>
        <w:gridCol w:w="2496"/>
        <w:gridCol w:w="2497"/>
      </w:tblGrid>
      <w:tr w:rsidR="00905AB4" w:rsidRPr="009D3648" w14:paraId="302DB42B" w14:textId="77777777" w:rsidTr="00905AB4">
        <w:tblPrEx>
          <w:tblCellMar>
            <w:top w:w="0" w:type="dxa"/>
            <w:bottom w:w="0" w:type="dxa"/>
          </w:tblCellMar>
        </w:tblPrEx>
        <w:tc>
          <w:tcPr>
            <w:tcW w:w="5350" w:type="dxa"/>
            <w:shd w:val="clear" w:color="auto" w:fill="1F4E79"/>
            <w:tcMar>
              <w:top w:w="60" w:type="dxa"/>
              <w:left w:w="100" w:type="dxa"/>
              <w:bottom w:w="60" w:type="dxa"/>
              <w:right w:w="100" w:type="dxa"/>
            </w:tcMar>
            <w:vAlign w:val="center"/>
          </w:tcPr>
          <w:p w14:paraId="78A73EE4" w14:textId="77777777" w:rsidR="00905AB4" w:rsidRPr="009D3648" w:rsidRDefault="00905AB4" w:rsidP="00905AB4">
            <w:pPr>
              <w:jc w:val="center"/>
              <w:rPr>
                <w:rFonts w:ascii="Calibri" w:hAnsi="Calibri" w:cs="Calibri"/>
                <w:sz w:val="22"/>
                <w:szCs w:val="22"/>
                <w:lang w:val="en-GB"/>
              </w:rPr>
            </w:pPr>
          </w:p>
        </w:tc>
        <w:tc>
          <w:tcPr>
            <w:tcW w:w="2496" w:type="dxa"/>
            <w:shd w:val="clear" w:color="auto" w:fill="1F4E79"/>
            <w:tcMar>
              <w:top w:w="60" w:type="dxa"/>
              <w:left w:w="100" w:type="dxa"/>
              <w:bottom w:w="60" w:type="dxa"/>
              <w:right w:w="100" w:type="dxa"/>
            </w:tcMar>
            <w:vAlign w:val="center"/>
          </w:tcPr>
          <w:p w14:paraId="4324ACE9"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b/>
                <w:bCs/>
                <w:color w:val="FFFFFF"/>
                <w:sz w:val="22"/>
                <w:szCs w:val="22"/>
                <w:lang w:val="en-GB"/>
              </w:rPr>
              <w:t>Reported figure 2025</w:t>
            </w:r>
          </w:p>
        </w:tc>
        <w:tc>
          <w:tcPr>
            <w:tcW w:w="2497" w:type="dxa"/>
            <w:shd w:val="clear" w:color="auto" w:fill="1F4E79"/>
            <w:tcMar>
              <w:top w:w="60" w:type="dxa"/>
              <w:left w:w="100" w:type="dxa"/>
              <w:bottom w:w="60" w:type="dxa"/>
              <w:right w:w="100" w:type="dxa"/>
            </w:tcMar>
            <w:vAlign w:val="center"/>
          </w:tcPr>
          <w:p w14:paraId="710A38B0"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b/>
                <w:bCs/>
                <w:color w:val="FFFFFF"/>
                <w:sz w:val="22"/>
                <w:szCs w:val="22"/>
                <w:lang w:val="en-GB"/>
              </w:rPr>
              <w:t>Reported figure 2024</w:t>
            </w:r>
          </w:p>
        </w:tc>
      </w:tr>
      <w:tr w:rsidR="00905AB4" w:rsidRPr="009D3648" w14:paraId="788A29EF"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6465B5C1"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all undertakings:</w:t>
            </w:r>
          </w:p>
        </w:tc>
        <w:tc>
          <w:tcPr>
            <w:tcW w:w="2496" w:type="dxa"/>
            <w:shd w:val="clear" w:color="auto" w:fill="FFFFFF" w:themeFill="background1"/>
            <w:tcMar>
              <w:top w:w="60" w:type="dxa"/>
              <w:left w:w="100" w:type="dxa"/>
              <w:bottom w:w="60" w:type="dxa"/>
              <w:right w:w="100" w:type="dxa"/>
            </w:tcMar>
            <w:vAlign w:val="center"/>
          </w:tcPr>
          <w:p w14:paraId="2CFA88AD"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225A2D57" w14:textId="77777777" w:rsidR="00905AB4" w:rsidRPr="009D3648" w:rsidRDefault="00905AB4" w:rsidP="00905AB4">
            <w:pPr>
              <w:rPr>
                <w:rFonts w:ascii="Calibri" w:hAnsi="Calibri" w:cs="Calibri"/>
                <w:sz w:val="22"/>
                <w:szCs w:val="22"/>
                <w:lang w:val="en-GB"/>
              </w:rPr>
            </w:pPr>
          </w:p>
        </w:tc>
      </w:tr>
      <w:tr w:rsidR="00905AB4" w:rsidRPr="009D3648" w14:paraId="27D823AB"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6777B307"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Share of investments by the insurance or reinsurance undertaking, other than those held in unit-linked life insurance contracts where the investment risk is borne by the policyholder, that are intended to finance or are associated with Taxonomy-aligned economic activities:</w:t>
            </w:r>
          </w:p>
        </w:tc>
        <w:tc>
          <w:tcPr>
            <w:tcW w:w="2496" w:type="dxa"/>
            <w:shd w:val="clear" w:color="auto" w:fill="FFFFFF" w:themeFill="background1"/>
            <w:tcMar>
              <w:top w:w="60" w:type="dxa"/>
              <w:left w:w="100" w:type="dxa"/>
              <w:bottom w:w="60" w:type="dxa"/>
              <w:right w:w="100" w:type="dxa"/>
            </w:tcMar>
            <w:vAlign w:val="center"/>
          </w:tcPr>
          <w:p w14:paraId="761C0176"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2B70F79E" w14:textId="77777777" w:rsidR="00905AB4" w:rsidRPr="009D3648" w:rsidRDefault="00905AB4" w:rsidP="00905AB4">
            <w:pPr>
              <w:rPr>
                <w:rFonts w:ascii="Calibri" w:hAnsi="Calibri" w:cs="Calibri"/>
                <w:sz w:val="22"/>
                <w:szCs w:val="22"/>
                <w:lang w:val="en-GB"/>
              </w:rPr>
            </w:pPr>
          </w:p>
        </w:tc>
      </w:tr>
      <w:tr w:rsidR="00905AB4" w:rsidRPr="009D3648" w14:paraId="3851AEF3"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29DD2499"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On a turnover basis</w:t>
            </w:r>
          </w:p>
        </w:tc>
        <w:tc>
          <w:tcPr>
            <w:tcW w:w="2496" w:type="dxa"/>
            <w:shd w:val="clear" w:color="auto" w:fill="FFFFFF" w:themeFill="background1"/>
            <w:tcMar>
              <w:top w:w="60" w:type="dxa"/>
              <w:left w:w="100" w:type="dxa"/>
              <w:bottom w:w="60" w:type="dxa"/>
              <w:right w:w="100" w:type="dxa"/>
            </w:tcMar>
            <w:vAlign w:val="center"/>
          </w:tcPr>
          <w:p w14:paraId="23D1D461"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90%</w:t>
            </w:r>
          </w:p>
        </w:tc>
        <w:tc>
          <w:tcPr>
            <w:tcW w:w="2497" w:type="dxa"/>
            <w:shd w:val="clear" w:color="auto" w:fill="FFFFFF" w:themeFill="background1"/>
            <w:tcMar>
              <w:top w:w="60" w:type="dxa"/>
              <w:left w:w="100" w:type="dxa"/>
              <w:bottom w:w="60" w:type="dxa"/>
              <w:right w:w="100" w:type="dxa"/>
            </w:tcMar>
            <w:vAlign w:val="center"/>
          </w:tcPr>
          <w:p w14:paraId="43CD5C10"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91%</w:t>
            </w:r>
          </w:p>
        </w:tc>
      </w:tr>
      <w:tr w:rsidR="00905AB4" w:rsidRPr="009D3648" w14:paraId="0B16A747"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30B171A7"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 xml:space="preserve">On a </w:t>
            </w:r>
            <w:proofErr w:type="spellStart"/>
            <w:r w:rsidRPr="009D3648">
              <w:rPr>
                <w:rFonts w:ascii="Calibri" w:hAnsi="Calibri" w:cs="Calibri"/>
                <w:b/>
                <w:bCs/>
                <w:color w:val="000000"/>
                <w:sz w:val="22"/>
                <w:szCs w:val="22"/>
                <w:lang w:val="en-GB"/>
              </w:rPr>
              <w:t>CapEx</w:t>
            </w:r>
            <w:proofErr w:type="spellEnd"/>
            <w:r w:rsidRPr="009D3648">
              <w:rPr>
                <w:rFonts w:ascii="Calibri" w:hAnsi="Calibri" w:cs="Calibri"/>
                <w:b/>
                <w:bCs/>
                <w:color w:val="000000"/>
                <w:sz w:val="22"/>
                <w:szCs w:val="22"/>
                <w:lang w:val="en-GB"/>
              </w:rPr>
              <w:t xml:space="preserve"> basis</w:t>
            </w:r>
          </w:p>
        </w:tc>
        <w:tc>
          <w:tcPr>
            <w:tcW w:w="2496" w:type="dxa"/>
            <w:shd w:val="clear" w:color="auto" w:fill="FFFFFF" w:themeFill="background1"/>
            <w:tcMar>
              <w:top w:w="60" w:type="dxa"/>
              <w:left w:w="100" w:type="dxa"/>
              <w:bottom w:w="60" w:type="dxa"/>
              <w:right w:w="100" w:type="dxa"/>
            </w:tcMar>
            <w:vAlign w:val="center"/>
          </w:tcPr>
          <w:p w14:paraId="2261D130"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87%</w:t>
            </w:r>
          </w:p>
        </w:tc>
        <w:tc>
          <w:tcPr>
            <w:tcW w:w="2497" w:type="dxa"/>
            <w:shd w:val="clear" w:color="auto" w:fill="FFFFFF" w:themeFill="background1"/>
            <w:tcMar>
              <w:top w:w="60" w:type="dxa"/>
              <w:left w:w="100" w:type="dxa"/>
              <w:bottom w:w="60" w:type="dxa"/>
              <w:right w:w="100" w:type="dxa"/>
            </w:tcMar>
            <w:vAlign w:val="center"/>
          </w:tcPr>
          <w:p w14:paraId="1DA2D6C9"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87%</w:t>
            </w:r>
          </w:p>
        </w:tc>
      </w:tr>
      <w:tr w:rsidR="00905AB4" w:rsidRPr="009D3648" w14:paraId="5845FF80"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7F1C027D"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investments by the insurance or reinsurance undertaking, other than those held in unit-linked life insurance contracts where the investment risk is borne by the policyholder, that are intended to finance or are associated with Taxonomy-aligned economic activities:</w:t>
            </w:r>
          </w:p>
        </w:tc>
        <w:tc>
          <w:tcPr>
            <w:tcW w:w="2496" w:type="dxa"/>
            <w:shd w:val="clear" w:color="auto" w:fill="FFFFFF" w:themeFill="background1"/>
            <w:tcMar>
              <w:top w:w="60" w:type="dxa"/>
              <w:left w:w="100" w:type="dxa"/>
              <w:bottom w:w="60" w:type="dxa"/>
              <w:right w:w="100" w:type="dxa"/>
            </w:tcMar>
            <w:vAlign w:val="center"/>
          </w:tcPr>
          <w:p w14:paraId="70988259"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25CD83CC" w14:textId="77777777" w:rsidR="00905AB4" w:rsidRPr="009D3648" w:rsidRDefault="00905AB4" w:rsidP="00905AB4">
            <w:pPr>
              <w:rPr>
                <w:rFonts w:ascii="Calibri" w:hAnsi="Calibri" w:cs="Calibri"/>
                <w:sz w:val="22"/>
                <w:szCs w:val="22"/>
                <w:lang w:val="en-GB"/>
              </w:rPr>
            </w:pPr>
          </w:p>
        </w:tc>
      </w:tr>
      <w:tr w:rsidR="00905AB4" w:rsidRPr="009D3648" w14:paraId="4BA5C943"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1067BBE7"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On a turnover basis</w:t>
            </w:r>
          </w:p>
        </w:tc>
        <w:tc>
          <w:tcPr>
            <w:tcW w:w="2496" w:type="dxa"/>
            <w:shd w:val="clear" w:color="auto" w:fill="FFFFFF" w:themeFill="background1"/>
            <w:tcMar>
              <w:top w:w="60" w:type="dxa"/>
              <w:left w:w="100" w:type="dxa"/>
              <w:bottom w:w="60" w:type="dxa"/>
              <w:right w:w="100" w:type="dxa"/>
            </w:tcMar>
            <w:vAlign w:val="center"/>
          </w:tcPr>
          <w:p w14:paraId="76A03DB1"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2,651,062,260</w:t>
            </w:r>
          </w:p>
        </w:tc>
        <w:tc>
          <w:tcPr>
            <w:tcW w:w="2497" w:type="dxa"/>
            <w:shd w:val="clear" w:color="auto" w:fill="FFFFFF" w:themeFill="background1"/>
            <w:tcMar>
              <w:top w:w="60" w:type="dxa"/>
              <w:left w:w="100" w:type="dxa"/>
              <w:bottom w:w="60" w:type="dxa"/>
              <w:right w:w="100" w:type="dxa"/>
            </w:tcMar>
            <w:vAlign w:val="center"/>
          </w:tcPr>
          <w:p w14:paraId="7C6BB904"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2,170,088,063</w:t>
            </w:r>
          </w:p>
        </w:tc>
      </w:tr>
      <w:tr w:rsidR="00905AB4" w:rsidRPr="009D3648" w14:paraId="27E75B7E"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3226DE17"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 xml:space="preserve">On a </w:t>
            </w:r>
            <w:proofErr w:type="spellStart"/>
            <w:r w:rsidRPr="009D3648">
              <w:rPr>
                <w:rFonts w:ascii="Calibri" w:hAnsi="Calibri" w:cs="Calibri"/>
                <w:b/>
                <w:bCs/>
                <w:color w:val="000000"/>
                <w:sz w:val="22"/>
                <w:szCs w:val="22"/>
                <w:lang w:val="en-GB"/>
              </w:rPr>
              <w:t>CapEx</w:t>
            </w:r>
            <w:proofErr w:type="spellEnd"/>
            <w:r w:rsidRPr="009D3648">
              <w:rPr>
                <w:rFonts w:ascii="Calibri" w:hAnsi="Calibri" w:cs="Calibri"/>
                <w:b/>
                <w:bCs/>
                <w:color w:val="000000"/>
                <w:sz w:val="22"/>
                <w:szCs w:val="22"/>
                <w:lang w:val="en-GB"/>
              </w:rPr>
              <w:t xml:space="preserve"> basis</w:t>
            </w:r>
          </w:p>
        </w:tc>
        <w:tc>
          <w:tcPr>
            <w:tcW w:w="2496" w:type="dxa"/>
            <w:shd w:val="clear" w:color="auto" w:fill="FFFFFF" w:themeFill="background1"/>
            <w:tcMar>
              <w:top w:w="60" w:type="dxa"/>
              <w:left w:w="100" w:type="dxa"/>
              <w:bottom w:w="60" w:type="dxa"/>
              <w:right w:w="100" w:type="dxa"/>
            </w:tcMar>
            <w:vAlign w:val="center"/>
          </w:tcPr>
          <w:p w14:paraId="1822EE87"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3,126,164,498</w:t>
            </w:r>
          </w:p>
        </w:tc>
        <w:tc>
          <w:tcPr>
            <w:tcW w:w="2497" w:type="dxa"/>
            <w:shd w:val="clear" w:color="auto" w:fill="FFFFFF" w:themeFill="background1"/>
            <w:tcMar>
              <w:top w:w="60" w:type="dxa"/>
              <w:left w:w="100" w:type="dxa"/>
              <w:bottom w:w="60" w:type="dxa"/>
              <w:right w:w="100" w:type="dxa"/>
            </w:tcMar>
            <w:vAlign w:val="center"/>
          </w:tcPr>
          <w:p w14:paraId="0F25602D"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2,609,525,141</w:t>
            </w:r>
          </w:p>
        </w:tc>
      </w:tr>
      <w:tr w:rsidR="00905AB4" w:rsidRPr="009D3648" w14:paraId="090C474E"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71ADACA3"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Share of exposures, Taxonomy-aligned, to other counterparties and assets, relative to total assets covered by the KPI:</w:t>
            </w:r>
          </w:p>
        </w:tc>
        <w:tc>
          <w:tcPr>
            <w:tcW w:w="2496" w:type="dxa"/>
            <w:shd w:val="clear" w:color="auto" w:fill="FFFFFF" w:themeFill="background1"/>
            <w:tcMar>
              <w:top w:w="60" w:type="dxa"/>
              <w:left w:w="100" w:type="dxa"/>
              <w:bottom w:w="60" w:type="dxa"/>
              <w:right w:w="100" w:type="dxa"/>
            </w:tcMar>
            <w:vAlign w:val="center"/>
          </w:tcPr>
          <w:p w14:paraId="2EC4EE70"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53FC1707" w14:textId="77777777" w:rsidR="00905AB4" w:rsidRPr="009D3648" w:rsidRDefault="00905AB4" w:rsidP="00905AB4">
            <w:pPr>
              <w:rPr>
                <w:rFonts w:ascii="Calibri" w:hAnsi="Calibri" w:cs="Calibri"/>
                <w:sz w:val="22"/>
                <w:szCs w:val="22"/>
                <w:lang w:val="en-GB"/>
              </w:rPr>
            </w:pPr>
          </w:p>
        </w:tc>
      </w:tr>
      <w:tr w:rsidR="00905AB4" w:rsidRPr="009D3648" w14:paraId="0A8693DC"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3718340F"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On a turnover basis</w:t>
            </w:r>
          </w:p>
        </w:tc>
        <w:tc>
          <w:tcPr>
            <w:tcW w:w="2496" w:type="dxa"/>
            <w:shd w:val="clear" w:color="auto" w:fill="FFFFFF" w:themeFill="background1"/>
            <w:tcMar>
              <w:top w:w="60" w:type="dxa"/>
              <w:left w:w="100" w:type="dxa"/>
              <w:bottom w:w="60" w:type="dxa"/>
              <w:right w:w="100" w:type="dxa"/>
            </w:tcMar>
            <w:vAlign w:val="center"/>
          </w:tcPr>
          <w:p w14:paraId="3691EA2F"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30%</w:t>
            </w:r>
          </w:p>
        </w:tc>
        <w:tc>
          <w:tcPr>
            <w:tcW w:w="2497" w:type="dxa"/>
            <w:shd w:val="clear" w:color="auto" w:fill="FFFFFF" w:themeFill="background1"/>
            <w:tcMar>
              <w:top w:w="60" w:type="dxa"/>
              <w:left w:w="100" w:type="dxa"/>
              <w:bottom w:w="60" w:type="dxa"/>
              <w:right w:w="100" w:type="dxa"/>
            </w:tcMar>
            <w:vAlign w:val="center"/>
          </w:tcPr>
          <w:p w14:paraId="16D1D289"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26%</w:t>
            </w:r>
          </w:p>
        </w:tc>
      </w:tr>
      <w:tr w:rsidR="00905AB4" w:rsidRPr="009D3648" w14:paraId="13A77D17"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67E31A57"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 xml:space="preserve">On a </w:t>
            </w:r>
            <w:proofErr w:type="spellStart"/>
            <w:r w:rsidRPr="009D3648">
              <w:rPr>
                <w:rFonts w:ascii="Calibri" w:hAnsi="Calibri" w:cs="Calibri"/>
                <w:b/>
                <w:bCs/>
                <w:color w:val="000000"/>
                <w:sz w:val="22"/>
                <w:szCs w:val="22"/>
                <w:lang w:val="en-GB"/>
              </w:rPr>
              <w:t>CapEx</w:t>
            </w:r>
            <w:proofErr w:type="spellEnd"/>
            <w:r w:rsidRPr="009D3648">
              <w:rPr>
                <w:rFonts w:ascii="Calibri" w:hAnsi="Calibri" w:cs="Calibri"/>
                <w:b/>
                <w:bCs/>
                <w:color w:val="000000"/>
                <w:sz w:val="22"/>
                <w:szCs w:val="22"/>
                <w:lang w:val="en-GB"/>
              </w:rPr>
              <w:t xml:space="preserve"> basis</w:t>
            </w:r>
          </w:p>
        </w:tc>
        <w:tc>
          <w:tcPr>
            <w:tcW w:w="2496" w:type="dxa"/>
            <w:shd w:val="clear" w:color="auto" w:fill="FFFFFF" w:themeFill="background1"/>
            <w:tcMar>
              <w:top w:w="60" w:type="dxa"/>
              <w:left w:w="100" w:type="dxa"/>
              <w:bottom w:w="60" w:type="dxa"/>
              <w:right w:w="100" w:type="dxa"/>
            </w:tcMar>
            <w:vAlign w:val="center"/>
          </w:tcPr>
          <w:p w14:paraId="0E765705"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24%</w:t>
            </w:r>
          </w:p>
        </w:tc>
        <w:tc>
          <w:tcPr>
            <w:tcW w:w="2497" w:type="dxa"/>
            <w:shd w:val="clear" w:color="auto" w:fill="FFFFFF" w:themeFill="background1"/>
            <w:tcMar>
              <w:top w:w="60" w:type="dxa"/>
              <w:left w:w="100" w:type="dxa"/>
              <w:bottom w:w="60" w:type="dxa"/>
              <w:right w:w="100" w:type="dxa"/>
            </w:tcMar>
            <w:vAlign w:val="center"/>
          </w:tcPr>
          <w:p w14:paraId="6CF5255E"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21%</w:t>
            </w:r>
          </w:p>
        </w:tc>
      </w:tr>
      <w:tr w:rsidR="00905AB4" w:rsidRPr="009D3648" w14:paraId="16546408"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1B768B3D"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exposures, Taxonomy-aligned, to other counterparties and assets, relative to total assets covered by the KPI:</w:t>
            </w:r>
          </w:p>
        </w:tc>
        <w:tc>
          <w:tcPr>
            <w:tcW w:w="2496" w:type="dxa"/>
            <w:shd w:val="clear" w:color="auto" w:fill="FFFFFF" w:themeFill="background1"/>
            <w:tcMar>
              <w:top w:w="60" w:type="dxa"/>
              <w:left w:w="100" w:type="dxa"/>
              <w:bottom w:w="60" w:type="dxa"/>
              <w:right w:w="100" w:type="dxa"/>
            </w:tcMar>
            <w:vAlign w:val="center"/>
          </w:tcPr>
          <w:p w14:paraId="2DC85943"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7A15185B" w14:textId="77777777" w:rsidR="00905AB4" w:rsidRPr="009D3648" w:rsidRDefault="00905AB4" w:rsidP="00905AB4">
            <w:pPr>
              <w:rPr>
                <w:rFonts w:ascii="Calibri" w:hAnsi="Calibri" w:cs="Calibri"/>
                <w:sz w:val="22"/>
                <w:szCs w:val="22"/>
                <w:lang w:val="en-GB"/>
              </w:rPr>
            </w:pPr>
          </w:p>
        </w:tc>
      </w:tr>
      <w:tr w:rsidR="00905AB4" w:rsidRPr="009D3648" w14:paraId="254D33A5"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3E8E3BE2"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On a turnover basis</w:t>
            </w:r>
          </w:p>
        </w:tc>
        <w:tc>
          <w:tcPr>
            <w:tcW w:w="2496" w:type="dxa"/>
            <w:shd w:val="clear" w:color="auto" w:fill="FFFFFF" w:themeFill="background1"/>
            <w:tcMar>
              <w:top w:w="60" w:type="dxa"/>
              <w:left w:w="100" w:type="dxa"/>
              <w:bottom w:w="60" w:type="dxa"/>
              <w:right w:w="100" w:type="dxa"/>
            </w:tcMar>
            <w:vAlign w:val="center"/>
          </w:tcPr>
          <w:p w14:paraId="719C10AF"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871,173,946</w:t>
            </w:r>
          </w:p>
        </w:tc>
        <w:tc>
          <w:tcPr>
            <w:tcW w:w="2497" w:type="dxa"/>
            <w:shd w:val="clear" w:color="auto" w:fill="FFFFFF" w:themeFill="background1"/>
            <w:tcMar>
              <w:top w:w="60" w:type="dxa"/>
              <w:left w:w="100" w:type="dxa"/>
              <w:bottom w:w="60" w:type="dxa"/>
              <w:right w:w="100" w:type="dxa"/>
            </w:tcMar>
            <w:vAlign w:val="center"/>
          </w:tcPr>
          <w:p w14:paraId="0B3903A3"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619,983,776</w:t>
            </w:r>
          </w:p>
        </w:tc>
      </w:tr>
      <w:tr w:rsidR="00905AB4" w:rsidRPr="009D3648" w14:paraId="26798F47"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1DC319F5"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 xml:space="preserve">On a </w:t>
            </w:r>
            <w:proofErr w:type="spellStart"/>
            <w:r w:rsidRPr="009D3648">
              <w:rPr>
                <w:rFonts w:ascii="Calibri" w:hAnsi="Calibri" w:cs="Calibri"/>
                <w:b/>
                <w:bCs/>
                <w:color w:val="000000"/>
                <w:sz w:val="22"/>
                <w:szCs w:val="22"/>
                <w:lang w:val="en-GB"/>
              </w:rPr>
              <w:t>CapEx</w:t>
            </w:r>
            <w:proofErr w:type="spellEnd"/>
            <w:r w:rsidRPr="009D3648">
              <w:rPr>
                <w:rFonts w:ascii="Calibri" w:hAnsi="Calibri" w:cs="Calibri"/>
                <w:b/>
                <w:bCs/>
                <w:color w:val="000000"/>
                <w:sz w:val="22"/>
                <w:szCs w:val="22"/>
                <w:lang w:val="en-GB"/>
              </w:rPr>
              <w:t xml:space="preserve"> basis</w:t>
            </w:r>
          </w:p>
        </w:tc>
        <w:tc>
          <w:tcPr>
            <w:tcW w:w="2496" w:type="dxa"/>
            <w:shd w:val="clear" w:color="auto" w:fill="FFFFFF" w:themeFill="background1"/>
            <w:tcMar>
              <w:top w:w="60" w:type="dxa"/>
              <w:left w:w="100" w:type="dxa"/>
              <w:bottom w:w="60" w:type="dxa"/>
              <w:right w:w="100" w:type="dxa"/>
            </w:tcMar>
            <w:vAlign w:val="center"/>
          </w:tcPr>
          <w:p w14:paraId="60C79DC0"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871,173,946</w:t>
            </w:r>
          </w:p>
        </w:tc>
        <w:tc>
          <w:tcPr>
            <w:tcW w:w="2497" w:type="dxa"/>
            <w:shd w:val="clear" w:color="auto" w:fill="FFFFFF" w:themeFill="background1"/>
            <w:tcMar>
              <w:top w:w="60" w:type="dxa"/>
              <w:left w:w="100" w:type="dxa"/>
              <w:bottom w:w="60" w:type="dxa"/>
              <w:right w:w="100" w:type="dxa"/>
            </w:tcMar>
            <w:vAlign w:val="center"/>
          </w:tcPr>
          <w:p w14:paraId="64FBAF1B"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619,983,776</w:t>
            </w:r>
          </w:p>
        </w:tc>
      </w:tr>
    </w:tbl>
    <w:p w14:paraId="5A4F1BB0" w14:textId="77777777" w:rsidR="00905AB4" w:rsidRPr="009D3648" w:rsidRDefault="00905AB4" w:rsidP="00905AB4">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On a turnover or </w:t>
      </w:r>
      <w:proofErr w:type="spellStart"/>
      <w:r w:rsidRPr="009D3648">
        <w:rPr>
          <w:rFonts w:ascii="Calibri" w:hAnsi="Calibri" w:cs="Calibri"/>
          <w:sz w:val="22"/>
          <w:szCs w:val="22"/>
          <w:lang w:val="en-GB"/>
        </w:rPr>
        <w:t>CapEx</w:t>
      </w:r>
      <w:proofErr w:type="spellEnd"/>
      <w:r w:rsidRPr="009D3648">
        <w:rPr>
          <w:rFonts w:ascii="Calibri" w:hAnsi="Calibri" w:cs="Calibri"/>
          <w:sz w:val="22"/>
          <w:szCs w:val="22"/>
          <w:lang w:val="en-GB"/>
        </w:rPr>
        <w:t xml:space="preserve"> basis, alignment stems mainly from non-financial companies, which account for more than half of all aligned assets. Since financial companies have only had to publish their alignment data since 2023, the proportion of reported data available remains lower. A large share of assets aligned on a turnover basis are held on the balance sheet of Group entities rather than in unit-linked products. It should be noted that aligned amounts under “other counterparties and assets” correspond to green bonds. Green bonds are subject to a specific analysis of the financed activity (“Use of Proceeds”) to determine their </w:t>
      </w:r>
      <w:proofErr w:type="gramStart"/>
      <w:r w:rsidRPr="009D3648">
        <w:rPr>
          <w:rFonts w:ascii="Calibri" w:hAnsi="Calibri" w:cs="Calibri"/>
          <w:sz w:val="22"/>
          <w:szCs w:val="22"/>
          <w:lang w:val="en-GB"/>
        </w:rPr>
        <w:t>alignment, and</w:t>
      </w:r>
      <w:proofErr w:type="gramEnd"/>
      <w:r w:rsidRPr="009D3648">
        <w:rPr>
          <w:rFonts w:ascii="Calibri" w:hAnsi="Calibri" w:cs="Calibri"/>
          <w:sz w:val="22"/>
          <w:szCs w:val="22"/>
          <w:lang w:val="en-GB"/>
        </w:rPr>
        <w:t xml:space="preserve"> are assigned an alignment percentage based on turnover and </w:t>
      </w:r>
      <w:proofErr w:type="spellStart"/>
      <w:r w:rsidRPr="009D3648">
        <w:rPr>
          <w:rFonts w:ascii="Calibri" w:hAnsi="Calibri" w:cs="Calibri"/>
          <w:sz w:val="22"/>
          <w:szCs w:val="22"/>
          <w:lang w:val="en-GB"/>
        </w:rPr>
        <w:t>CapEx</w:t>
      </w:r>
      <w:proofErr w:type="spellEnd"/>
      <w:r w:rsidRPr="009D3648">
        <w:rPr>
          <w:rFonts w:ascii="Calibri" w:hAnsi="Calibri" w:cs="Calibri"/>
          <w:sz w:val="22"/>
          <w:szCs w:val="22"/>
          <w:lang w:val="en-GB"/>
        </w:rPr>
        <w:t>.</w:t>
      </w:r>
    </w:p>
    <w:p w14:paraId="3DE31023" w14:textId="77777777" w:rsidR="00905AB4" w:rsidRDefault="00905AB4" w:rsidP="009D3648">
      <w:pPr>
        <w:spacing w:before="80" w:after="120"/>
        <w:jc w:val="both"/>
        <w:rPr>
          <w:rFonts w:ascii="Calibri" w:hAnsi="Calibri" w:cs="Calibri"/>
          <w:sz w:val="22"/>
          <w:szCs w:val="22"/>
          <w:lang w:val="en-GB"/>
        </w:rPr>
      </w:pPr>
    </w:p>
    <w:p w14:paraId="1E969CE4" w14:textId="77777777" w:rsidR="00905AB4" w:rsidRDefault="00905AB4" w:rsidP="009D3648">
      <w:pPr>
        <w:spacing w:before="80" w:after="120"/>
        <w:jc w:val="both"/>
        <w:rPr>
          <w:rFonts w:ascii="Calibri" w:hAnsi="Calibri" w:cs="Calibri"/>
          <w:sz w:val="22"/>
          <w:szCs w:val="22"/>
          <w:lang w:val="en-GB"/>
        </w:rPr>
      </w:pPr>
    </w:p>
    <w:p w14:paraId="0DC112FF" w14:textId="77777777" w:rsidR="00905AB4" w:rsidRDefault="00905AB4" w:rsidP="009D3648">
      <w:pPr>
        <w:spacing w:before="80" w:after="120"/>
        <w:jc w:val="both"/>
        <w:rPr>
          <w:rFonts w:ascii="Calibri" w:hAnsi="Calibri" w:cs="Calibri"/>
          <w:sz w:val="22"/>
          <w:szCs w:val="22"/>
          <w:lang w:val="en-GB"/>
        </w:rPr>
      </w:pPr>
    </w:p>
    <w:p w14:paraId="51C29BF9" w14:textId="77777777" w:rsidR="00905AB4" w:rsidRDefault="00905AB4" w:rsidP="009D3648">
      <w:pPr>
        <w:spacing w:before="80" w:after="120"/>
        <w:jc w:val="both"/>
        <w:rPr>
          <w:rFonts w:ascii="Calibri" w:hAnsi="Calibri" w:cs="Calibri"/>
          <w:sz w:val="22"/>
          <w:szCs w:val="22"/>
          <w:lang w:val="en-GB"/>
        </w:rPr>
      </w:pPr>
    </w:p>
    <w:p w14:paraId="70DF54C1" w14:textId="77777777" w:rsidR="00905AB4" w:rsidRDefault="00905AB4" w:rsidP="009D3648">
      <w:pPr>
        <w:spacing w:before="80" w:after="120"/>
        <w:jc w:val="both"/>
        <w:rPr>
          <w:rFonts w:ascii="Calibri" w:hAnsi="Calibri" w:cs="Calibri"/>
          <w:sz w:val="22"/>
          <w:szCs w:val="22"/>
          <w:lang w:val="en-GB"/>
        </w:rPr>
      </w:pPr>
    </w:p>
    <w:p w14:paraId="5CEF99A9" w14:textId="77777777" w:rsidR="00905AB4" w:rsidRDefault="00905AB4" w:rsidP="009D3648">
      <w:pPr>
        <w:spacing w:before="80" w:after="120"/>
        <w:jc w:val="both"/>
        <w:rPr>
          <w:rFonts w:ascii="Calibri" w:hAnsi="Calibri" w:cs="Calibri"/>
          <w:sz w:val="22"/>
          <w:szCs w:val="22"/>
          <w:lang w:val="en-GB"/>
        </w:rPr>
      </w:pPr>
    </w:p>
    <w:p w14:paraId="261AE4F2" w14:textId="77777777" w:rsidR="00905AB4" w:rsidRDefault="00905AB4" w:rsidP="009D3648">
      <w:pPr>
        <w:spacing w:before="80" w:after="120"/>
        <w:jc w:val="both"/>
        <w:rPr>
          <w:rFonts w:ascii="Calibri" w:hAnsi="Calibri" w:cs="Calibri"/>
          <w:sz w:val="22"/>
          <w:szCs w:val="22"/>
          <w:lang w:val="en-GB"/>
        </w:rPr>
      </w:pPr>
    </w:p>
    <w:p w14:paraId="2353BDBE" w14:textId="77777777" w:rsidR="00905AB4" w:rsidRDefault="00905AB4" w:rsidP="009D3648">
      <w:pPr>
        <w:spacing w:before="80" w:after="120"/>
        <w:jc w:val="both"/>
        <w:rPr>
          <w:rFonts w:ascii="Calibri" w:hAnsi="Calibri" w:cs="Calibri"/>
          <w:sz w:val="22"/>
          <w:szCs w:val="22"/>
          <w:lang w:val="en-GB"/>
        </w:rPr>
      </w:pPr>
    </w:p>
    <w:p w14:paraId="3F392879" w14:textId="77777777" w:rsidR="00905AB4" w:rsidRPr="009D3648" w:rsidRDefault="00905AB4" w:rsidP="00905AB4">
      <w:pPr>
        <w:spacing w:before="80" w:after="120"/>
        <w:rPr>
          <w:rFonts w:ascii="Calibri" w:hAnsi="Calibri" w:cs="Calibri"/>
          <w:sz w:val="22"/>
          <w:szCs w:val="22"/>
          <w:lang w:val="en-GB"/>
        </w:rPr>
      </w:pPr>
      <w:r w:rsidRPr="009D3648">
        <w:rPr>
          <w:rFonts w:ascii="Calibri" w:hAnsi="Calibri" w:cs="Calibri"/>
          <w:sz w:val="22"/>
          <w:szCs w:val="22"/>
          <w:lang w:val="en-GB"/>
        </w:rPr>
        <w:lastRenderedPageBreak/>
        <w:t>Here is additional information on the denominator:</w:t>
      </w:r>
    </w:p>
    <w:p w14:paraId="01BAFDB9" w14:textId="77777777" w:rsidR="00905AB4" w:rsidRDefault="00905AB4"/>
    <w:tbl>
      <w:tblPr>
        <w:tblW w:w="103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4A0" w:firstRow="1" w:lastRow="0" w:firstColumn="1" w:lastColumn="0" w:noHBand="0" w:noVBand="1"/>
      </w:tblPr>
      <w:tblGrid>
        <w:gridCol w:w="5350"/>
        <w:gridCol w:w="2496"/>
        <w:gridCol w:w="2497"/>
      </w:tblGrid>
      <w:tr w:rsidR="00905AB4" w:rsidRPr="009D3648" w14:paraId="55196E1E" w14:textId="77777777" w:rsidTr="00905AB4">
        <w:tblPrEx>
          <w:tblCellMar>
            <w:top w:w="0" w:type="dxa"/>
            <w:bottom w:w="0" w:type="dxa"/>
          </w:tblCellMar>
        </w:tblPrEx>
        <w:tc>
          <w:tcPr>
            <w:tcW w:w="5350" w:type="dxa"/>
            <w:shd w:val="clear" w:color="auto" w:fill="1F4E79"/>
            <w:tcMar>
              <w:top w:w="60" w:type="dxa"/>
              <w:left w:w="100" w:type="dxa"/>
              <w:bottom w:w="60" w:type="dxa"/>
              <w:right w:w="100" w:type="dxa"/>
            </w:tcMar>
            <w:vAlign w:val="center"/>
          </w:tcPr>
          <w:p w14:paraId="5CCF47B5" w14:textId="77777777" w:rsidR="00905AB4" w:rsidRPr="009D3648" w:rsidRDefault="00905AB4" w:rsidP="00905AB4">
            <w:pPr>
              <w:rPr>
                <w:rFonts w:ascii="Calibri" w:hAnsi="Calibri" w:cs="Calibri"/>
                <w:b/>
                <w:bCs/>
                <w:color w:val="000000"/>
                <w:sz w:val="22"/>
                <w:szCs w:val="22"/>
                <w:lang w:val="en-GB"/>
              </w:rPr>
            </w:pPr>
          </w:p>
        </w:tc>
        <w:tc>
          <w:tcPr>
            <w:tcW w:w="2496" w:type="dxa"/>
            <w:shd w:val="clear" w:color="auto" w:fill="1F4E79"/>
            <w:tcMar>
              <w:top w:w="60" w:type="dxa"/>
              <w:left w:w="100" w:type="dxa"/>
              <w:bottom w:w="60" w:type="dxa"/>
              <w:right w:w="100" w:type="dxa"/>
            </w:tcMar>
            <w:vAlign w:val="center"/>
          </w:tcPr>
          <w:p w14:paraId="16FED7DA" w14:textId="4D2DADBD" w:rsidR="00905AB4" w:rsidRPr="009D3648" w:rsidRDefault="00905AB4" w:rsidP="00905AB4">
            <w:pPr>
              <w:jc w:val="center"/>
              <w:rPr>
                <w:rFonts w:ascii="Calibri" w:hAnsi="Calibri" w:cs="Calibri"/>
                <w:color w:val="000000"/>
                <w:sz w:val="22"/>
                <w:szCs w:val="22"/>
                <w:lang w:val="en-GB"/>
              </w:rPr>
            </w:pPr>
            <w:r w:rsidRPr="009D3648">
              <w:rPr>
                <w:rFonts w:ascii="Calibri" w:hAnsi="Calibri" w:cs="Calibri"/>
                <w:b/>
                <w:bCs/>
                <w:color w:val="FFFFFF"/>
                <w:sz w:val="22"/>
                <w:szCs w:val="22"/>
                <w:lang w:val="en-GB"/>
              </w:rPr>
              <w:t>Reported figure 2025</w:t>
            </w:r>
          </w:p>
        </w:tc>
        <w:tc>
          <w:tcPr>
            <w:tcW w:w="2497" w:type="dxa"/>
            <w:shd w:val="clear" w:color="auto" w:fill="1F4E79"/>
            <w:tcMar>
              <w:top w:w="60" w:type="dxa"/>
              <w:left w:w="100" w:type="dxa"/>
              <w:bottom w:w="60" w:type="dxa"/>
              <w:right w:w="100" w:type="dxa"/>
            </w:tcMar>
            <w:vAlign w:val="center"/>
          </w:tcPr>
          <w:p w14:paraId="49AB8BA7" w14:textId="7C49791D" w:rsidR="00905AB4" w:rsidRPr="009D3648" w:rsidRDefault="00905AB4" w:rsidP="00905AB4">
            <w:pPr>
              <w:jc w:val="center"/>
              <w:rPr>
                <w:rFonts w:ascii="Calibri" w:hAnsi="Calibri" w:cs="Calibri"/>
                <w:color w:val="000000"/>
                <w:sz w:val="22"/>
                <w:szCs w:val="22"/>
                <w:lang w:val="en-GB"/>
              </w:rPr>
            </w:pPr>
            <w:r w:rsidRPr="009D3648">
              <w:rPr>
                <w:rFonts w:ascii="Calibri" w:hAnsi="Calibri" w:cs="Calibri"/>
                <w:b/>
                <w:bCs/>
                <w:color w:val="FFFFFF"/>
                <w:sz w:val="22"/>
                <w:szCs w:val="22"/>
                <w:lang w:val="en-GB"/>
              </w:rPr>
              <w:t>Reported figure 2024</w:t>
            </w:r>
          </w:p>
        </w:tc>
      </w:tr>
      <w:tr w:rsidR="00905AB4" w:rsidRPr="009D3648" w14:paraId="2802E195"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4EF76F15"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Percentage of derivatives relative to total assets covered by the KPI:</w:t>
            </w:r>
          </w:p>
        </w:tc>
        <w:tc>
          <w:tcPr>
            <w:tcW w:w="2496" w:type="dxa"/>
            <w:shd w:val="clear" w:color="auto" w:fill="FFFFFF" w:themeFill="background1"/>
            <w:tcMar>
              <w:top w:w="60" w:type="dxa"/>
              <w:left w:w="100" w:type="dxa"/>
              <w:bottom w:w="60" w:type="dxa"/>
              <w:right w:w="100" w:type="dxa"/>
            </w:tcMar>
            <w:vAlign w:val="center"/>
          </w:tcPr>
          <w:p w14:paraId="056D58FE"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2497" w:type="dxa"/>
            <w:shd w:val="clear" w:color="auto" w:fill="FFFFFF" w:themeFill="background1"/>
            <w:tcMar>
              <w:top w:w="60" w:type="dxa"/>
              <w:left w:w="100" w:type="dxa"/>
              <w:bottom w:w="60" w:type="dxa"/>
              <w:right w:w="100" w:type="dxa"/>
            </w:tcMar>
            <w:vAlign w:val="center"/>
          </w:tcPr>
          <w:p w14:paraId="4EFBAC03"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0%</w:t>
            </w:r>
          </w:p>
        </w:tc>
      </w:tr>
      <w:tr w:rsidR="00905AB4" w:rsidRPr="009D3648" w14:paraId="52E6E367"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1194D996"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in monetary amounts, of derivatives:</w:t>
            </w:r>
          </w:p>
        </w:tc>
        <w:tc>
          <w:tcPr>
            <w:tcW w:w="2496" w:type="dxa"/>
            <w:shd w:val="clear" w:color="auto" w:fill="FFFFFF" w:themeFill="background1"/>
            <w:tcMar>
              <w:top w:w="60" w:type="dxa"/>
              <w:left w:w="100" w:type="dxa"/>
              <w:bottom w:w="60" w:type="dxa"/>
              <w:right w:w="100" w:type="dxa"/>
            </w:tcMar>
            <w:vAlign w:val="center"/>
          </w:tcPr>
          <w:p w14:paraId="166C1BC6"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-237,762,232</w:t>
            </w:r>
          </w:p>
        </w:tc>
        <w:tc>
          <w:tcPr>
            <w:tcW w:w="2497" w:type="dxa"/>
            <w:shd w:val="clear" w:color="auto" w:fill="FFFFFF" w:themeFill="background1"/>
            <w:tcMar>
              <w:top w:w="60" w:type="dxa"/>
              <w:left w:w="100" w:type="dxa"/>
              <w:bottom w:w="60" w:type="dxa"/>
              <w:right w:w="100" w:type="dxa"/>
            </w:tcMar>
            <w:vAlign w:val="center"/>
          </w:tcPr>
          <w:p w14:paraId="4C722AF5"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-195,859,141</w:t>
            </w:r>
          </w:p>
        </w:tc>
      </w:tr>
      <w:tr w:rsidR="00905AB4" w:rsidRPr="009D3648" w14:paraId="6D7B0554"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7EAEBD8E"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Share of exposures to financial and non-financial undertakings not subject to Articles 19a and 29a of Directive 2013/34/EU, relative to total assets covered by the KPI:</w:t>
            </w:r>
          </w:p>
        </w:tc>
        <w:tc>
          <w:tcPr>
            <w:tcW w:w="2496" w:type="dxa"/>
            <w:shd w:val="clear" w:color="auto" w:fill="FFFFFF" w:themeFill="background1"/>
            <w:tcMar>
              <w:top w:w="60" w:type="dxa"/>
              <w:left w:w="100" w:type="dxa"/>
              <w:bottom w:w="60" w:type="dxa"/>
              <w:right w:w="100" w:type="dxa"/>
            </w:tcMar>
            <w:vAlign w:val="center"/>
          </w:tcPr>
          <w:p w14:paraId="10AAFA4F"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0A5156C9" w14:textId="77777777" w:rsidR="00905AB4" w:rsidRPr="009D3648" w:rsidRDefault="00905AB4" w:rsidP="00905AB4">
            <w:pPr>
              <w:rPr>
                <w:rFonts w:ascii="Calibri" w:hAnsi="Calibri" w:cs="Calibri"/>
                <w:sz w:val="22"/>
                <w:szCs w:val="22"/>
                <w:lang w:val="en-GB"/>
              </w:rPr>
            </w:pPr>
          </w:p>
        </w:tc>
      </w:tr>
      <w:tr w:rsidR="00905AB4" w:rsidRPr="009D3648" w14:paraId="4F78EF4B"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23885D15"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non-financial undertakings</w:t>
            </w:r>
          </w:p>
        </w:tc>
        <w:tc>
          <w:tcPr>
            <w:tcW w:w="2496" w:type="dxa"/>
            <w:shd w:val="clear" w:color="auto" w:fill="FFFFFF" w:themeFill="background1"/>
            <w:tcMar>
              <w:top w:w="60" w:type="dxa"/>
              <w:left w:w="100" w:type="dxa"/>
              <w:bottom w:w="60" w:type="dxa"/>
              <w:right w:w="100" w:type="dxa"/>
            </w:tcMar>
            <w:vAlign w:val="center"/>
          </w:tcPr>
          <w:p w14:paraId="4167A1F4"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4%</w:t>
            </w:r>
          </w:p>
        </w:tc>
        <w:tc>
          <w:tcPr>
            <w:tcW w:w="2497" w:type="dxa"/>
            <w:shd w:val="clear" w:color="auto" w:fill="FFFFFF" w:themeFill="background1"/>
            <w:tcMar>
              <w:top w:w="60" w:type="dxa"/>
              <w:left w:w="100" w:type="dxa"/>
              <w:bottom w:w="60" w:type="dxa"/>
              <w:right w:w="100" w:type="dxa"/>
            </w:tcMar>
            <w:vAlign w:val="center"/>
          </w:tcPr>
          <w:p w14:paraId="3FBCF7BD"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5%</w:t>
            </w:r>
          </w:p>
        </w:tc>
      </w:tr>
      <w:tr w:rsidR="00905AB4" w:rsidRPr="009D3648" w14:paraId="08882C73"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6D80DDB8"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financial undertakings</w:t>
            </w:r>
          </w:p>
        </w:tc>
        <w:tc>
          <w:tcPr>
            <w:tcW w:w="2496" w:type="dxa"/>
            <w:shd w:val="clear" w:color="auto" w:fill="FFFFFF" w:themeFill="background1"/>
            <w:tcMar>
              <w:top w:w="60" w:type="dxa"/>
              <w:left w:w="100" w:type="dxa"/>
              <w:bottom w:w="60" w:type="dxa"/>
              <w:right w:w="100" w:type="dxa"/>
            </w:tcMar>
            <w:vAlign w:val="center"/>
          </w:tcPr>
          <w:p w14:paraId="03C6D502"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5%</w:t>
            </w:r>
          </w:p>
        </w:tc>
        <w:tc>
          <w:tcPr>
            <w:tcW w:w="2497" w:type="dxa"/>
            <w:shd w:val="clear" w:color="auto" w:fill="FFFFFF" w:themeFill="background1"/>
            <w:tcMar>
              <w:top w:w="60" w:type="dxa"/>
              <w:left w:w="100" w:type="dxa"/>
              <w:bottom w:w="60" w:type="dxa"/>
              <w:right w:w="100" w:type="dxa"/>
            </w:tcMar>
            <w:vAlign w:val="center"/>
          </w:tcPr>
          <w:p w14:paraId="7DE65642"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5%</w:t>
            </w:r>
          </w:p>
        </w:tc>
      </w:tr>
      <w:tr w:rsidR="00905AB4" w:rsidRPr="009D3648" w14:paraId="1611B9A0"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6B1DDEAA"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exposures to financial and non-financial undertakings not subject to Articles 19a and 29a of Directive 2013/34/EU:</w:t>
            </w:r>
          </w:p>
        </w:tc>
        <w:tc>
          <w:tcPr>
            <w:tcW w:w="2496" w:type="dxa"/>
            <w:shd w:val="clear" w:color="auto" w:fill="FFFFFF" w:themeFill="background1"/>
            <w:tcMar>
              <w:top w:w="60" w:type="dxa"/>
              <w:left w:w="100" w:type="dxa"/>
              <w:bottom w:w="60" w:type="dxa"/>
              <w:right w:w="100" w:type="dxa"/>
            </w:tcMar>
            <w:vAlign w:val="center"/>
          </w:tcPr>
          <w:p w14:paraId="73F40402"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734AC26D" w14:textId="77777777" w:rsidR="00905AB4" w:rsidRPr="009D3648" w:rsidRDefault="00905AB4" w:rsidP="00905AB4">
            <w:pPr>
              <w:rPr>
                <w:rFonts w:ascii="Calibri" w:hAnsi="Calibri" w:cs="Calibri"/>
                <w:sz w:val="22"/>
                <w:szCs w:val="22"/>
                <w:lang w:val="en-GB"/>
              </w:rPr>
            </w:pPr>
          </w:p>
        </w:tc>
      </w:tr>
      <w:tr w:rsidR="00905AB4" w:rsidRPr="009D3648" w14:paraId="40EDBB0B"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410AE380"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non-financial undertakings</w:t>
            </w:r>
          </w:p>
        </w:tc>
        <w:tc>
          <w:tcPr>
            <w:tcW w:w="2496" w:type="dxa"/>
            <w:shd w:val="clear" w:color="auto" w:fill="FFFFFF" w:themeFill="background1"/>
            <w:tcMar>
              <w:top w:w="60" w:type="dxa"/>
              <w:left w:w="100" w:type="dxa"/>
              <w:bottom w:w="60" w:type="dxa"/>
              <w:right w:w="100" w:type="dxa"/>
            </w:tcMar>
            <w:vAlign w:val="center"/>
          </w:tcPr>
          <w:p w14:paraId="59C67E10"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2,803,770,069</w:t>
            </w:r>
          </w:p>
        </w:tc>
        <w:tc>
          <w:tcPr>
            <w:tcW w:w="2497" w:type="dxa"/>
            <w:shd w:val="clear" w:color="auto" w:fill="FFFFFF" w:themeFill="background1"/>
            <w:tcMar>
              <w:top w:w="60" w:type="dxa"/>
              <w:left w:w="100" w:type="dxa"/>
              <w:bottom w:w="60" w:type="dxa"/>
              <w:right w:w="100" w:type="dxa"/>
            </w:tcMar>
            <w:vAlign w:val="center"/>
          </w:tcPr>
          <w:p w14:paraId="2EDF207A"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2,826,965,831</w:t>
            </w:r>
          </w:p>
        </w:tc>
      </w:tr>
      <w:tr w:rsidR="00905AB4" w:rsidRPr="009D3648" w14:paraId="078424DC"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7B2D5CD9"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financial undertakings</w:t>
            </w:r>
          </w:p>
        </w:tc>
        <w:tc>
          <w:tcPr>
            <w:tcW w:w="2496" w:type="dxa"/>
            <w:shd w:val="clear" w:color="auto" w:fill="FFFFFF" w:themeFill="background1"/>
            <w:tcMar>
              <w:top w:w="60" w:type="dxa"/>
              <w:left w:w="100" w:type="dxa"/>
              <w:bottom w:w="60" w:type="dxa"/>
              <w:right w:w="100" w:type="dxa"/>
            </w:tcMar>
            <w:vAlign w:val="center"/>
          </w:tcPr>
          <w:p w14:paraId="164FF875"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3,348,895,639</w:t>
            </w:r>
          </w:p>
        </w:tc>
        <w:tc>
          <w:tcPr>
            <w:tcW w:w="2497" w:type="dxa"/>
            <w:shd w:val="clear" w:color="auto" w:fill="FFFFFF" w:themeFill="background1"/>
            <w:tcMar>
              <w:top w:w="60" w:type="dxa"/>
              <w:left w:w="100" w:type="dxa"/>
              <w:bottom w:w="60" w:type="dxa"/>
              <w:right w:w="100" w:type="dxa"/>
            </w:tcMar>
            <w:vAlign w:val="center"/>
          </w:tcPr>
          <w:p w14:paraId="14FB4B4A"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2,829,481,153</w:t>
            </w:r>
          </w:p>
        </w:tc>
      </w:tr>
      <w:tr w:rsidR="00905AB4" w:rsidRPr="009D3648" w14:paraId="5CF8B73A"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7386D0A1"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Share of exposures to financial and non-financial undertakings from third countries not subject to Articles 19a and 29a of Directive 2013/34/EU, relative to total assets covered by the KPI:</w:t>
            </w:r>
          </w:p>
        </w:tc>
        <w:tc>
          <w:tcPr>
            <w:tcW w:w="2496" w:type="dxa"/>
            <w:shd w:val="clear" w:color="auto" w:fill="FFFFFF" w:themeFill="background1"/>
            <w:tcMar>
              <w:top w:w="60" w:type="dxa"/>
              <w:left w:w="100" w:type="dxa"/>
              <w:bottom w:w="60" w:type="dxa"/>
              <w:right w:w="100" w:type="dxa"/>
            </w:tcMar>
            <w:vAlign w:val="center"/>
          </w:tcPr>
          <w:p w14:paraId="15FE9FFC"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644C44CF" w14:textId="77777777" w:rsidR="00905AB4" w:rsidRPr="009D3648" w:rsidRDefault="00905AB4" w:rsidP="00905AB4">
            <w:pPr>
              <w:rPr>
                <w:rFonts w:ascii="Calibri" w:hAnsi="Calibri" w:cs="Calibri"/>
                <w:sz w:val="22"/>
                <w:szCs w:val="22"/>
                <w:lang w:val="en-GB"/>
              </w:rPr>
            </w:pPr>
          </w:p>
        </w:tc>
      </w:tr>
      <w:tr w:rsidR="00905AB4" w:rsidRPr="009D3648" w14:paraId="6223B716"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4C9A19D7"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non-financial undertakings</w:t>
            </w:r>
          </w:p>
        </w:tc>
        <w:tc>
          <w:tcPr>
            <w:tcW w:w="2496" w:type="dxa"/>
            <w:shd w:val="clear" w:color="auto" w:fill="FFFFFF" w:themeFill="background1"/>
            <w:tcMar>
              <w:top w:w="60" w:type="dxa"/>
              <w:left w:w="100" w:type="dxa"/>
              <w:bottom w:w="60" w:type="dxa"/>
              <w:right w:w="100" w:type="dxa"/>
            </w:tcMar>
            <w:vAlign w:val="center"/>
          </w:tcPr>
          <w:p w14:paraId="4EDE2AEA"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15%</w:t>
            </w:r>
          </w:p>
        </w:tc>
        <w:tc>
          <w:tcPr>
            <w:tcW w:w="2497" w:type="dxa"/>
            <w:shd w:val="clear" w:color="auto" w:fill="FFFFFF" w:themeFill="background1"/>
            <w:tcMar>
              <w:top w:w="60" w:type="dxa"/>
              <w:left w:w="100" w:type="dxa"/>
              <w:bottom w:w="60" w:type="dxa"/>
              <w:right w:w="100" w:type="dxa"/>
            </w:tcMar>
            <w:vAlign w:val="center"/>
          </w:tcPr>
          <w:p w14:paraId="3C213CBB"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16%</w:t>
            </w:r>
          </w:p>
        </w:tc>
      </w:tr>
      <w:tr w:rsidR="00905AB4" w:rsidRPr="009D3648" w14:paraId="6E2F3E10"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0F33A914"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financial undertakings</w:t>
            </w:r>
          </w:p>
        </w:tc>
        <w:tc>
          <w:tcPr>
            <w:tcW w:w="2496" w:type="dxa"/>
            <w:shd w:val="clear" w:color="auto" w:fill="FFFFFF" w:themeFill="background1"/>
            <w:tcMar>
              <w:top w:w="60" w:type="dxa"/>
              <w:left w:w="100" w:type="dxa"/>
              <w:bottom w:w="60" w:type="dxa"/>
              <w:right w:w="100" w:type="dxa"/>
            </w:tcMar>
            <w:vAlign w:val="center"/>
          </w:tcPr>
          <w:p w14:paraId="4BEA0ED3"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13%</w:t>
            </w:r>
          </w:p>
        </w:tc>
        <w:tc>
          <w:tcPr>
            <w:tcW w:w="2497" w:type="dxa"/>
            <w:shd w:val="clear" w:color="auto" w:fill="FFFFFF" w:themeFill="background1"/>
            <w:tcMar>
              <w:top w:w="60" w:type="dxa"/>
              <w:left w:w="100" w:type="dxa"/>
              <w:bottom w:w="60" w:type="dxa"/>
              <w:right w:w="100" w:type="dxa"/>
            </w:tcMar>
            <w:vAlign w:val="center"/>
          </w:tcPr>
          <w:p w14:paraId="6D479515"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11%</w:t>
            </w:r>
          </w:p>
        </w:tc>
      </w:tr>
      <w:tr w:rsidR="00905AB4" w:rsidRPr="009D3648" w14:paraId="44E971B7"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256CDA55"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exposures to financial and non-financial undertakings from third countries not subject to Articles 19a and 29a of Directive 2013/34/EU:</w:t>
            </w:r>
          </w:p>
        </w:tc>
        <w:tc>
          <w:tcPr>
            <w:tcW w:w="2496" w:type="dxa"/>
            <w:shd w:val="clear" w:color="auto" w:fill="FFFFFF" w:themeFill="background1"/>
            <w:tcMar>
              <w:top w:w="60" w:type="dxa"/>
              <w:left w:w="100" w:type="dxa"/>
              <w:bottom w:w="60" w:type="dxa"/>
              <w:right w:w="100" w:type="dxa"/>
            </w:tcMar>
            <w:vAlign w:val="center"/>
          </w:tcPr>
          <w:p w14:paraId="5C00C5B8"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24AE11B1" w14:textId="77777777" w:rsidR="00905AB4" w:rsidRPr="009D3648" w:rsidRDefault="00905AB4" w:rsidP="00905AB4">
            <w:pPr>
              <w:rPr>
                <w:rFonts w:ascii="Calibri" w:hAnsi="Calibri" w:cs="Calibri"/>
                <w:sz w:val="22"/>
                <w:szCs w:val="22"/>
                <w:lang w:val="en-GB"/>
              </w:rPr>
            </w:pPr>
          </w:p>
        </w:tc>
      </w:tr>
      <w:tr w:rsidR="00905AB4" w:rsidRPr="009D3648" w14:paraId="77561C08"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4ABC5F15"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non-financial undertakings</w:t>
            </w:r>
          </w:p>
        </w:tc>
        <w:tc>
          <w:tcPr>
            <w:tcW w:w="2496" w:type="dxa"/>
            <w:shd w:val="clear" w:color="auto" w:fill="FFFFFF" w:themeFill="background1"/>
            <w:tcMar>
              <w:top w:w="60" w:type="dxa"/>
              <w:left w:w="100" w:type="dxa"/>
              <w:bottom w:w="60" w:type="dxa"/>
              <w:right w:w="100" w:type="dxa"/>
            </w:tcMar>
            <w:vAlign w:val="center"/>
          </w:tcPr>
          <w:p w14:paraId="37988E28"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9,782,349,569</w:t>
            </w:r>
          </w:p>
        </w:tc>
        <w:tc>
          <w:tcPr>
            <w:tcW w:w="2497" w:type="dxa"/>
            <w:shd w:val="clear" w:color="auto" w:fill="FFFFFF" w:themeFill="background1"/>
            <w:tcMar>
              <w:top w:w="60" w:type="dxa"/>
              <w:left w:w="100" w:type="dxa"/>
              <w:bottom w:w="60" w:type="dxa"/>
              <w:right w:w="100" w:type="dxa"/>
            </w:tcMar>
            <w:vAlign w:val="center"/>
          </w:tcPr>
          <w:p w14:paraId="72927317"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9,268,569,895</w:t>
            </w:r>
          </w:p>
        </w:tc>
      </w:tr>
      <w:tr w:rsidR="00905AB4" w:rsidRPr="009D3648" w14:paraId="5E491827"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3D7E67A7"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financial undertakings</w:t>
            </w:r>
          </w:p>
        </w:tc>
        <w:tc>
          <w:tcPr>
            <w:tcW w:w="2496" w:type="dxa"/>
            <w:shd w:val="clear" w:color="auto" w:fill="FFFFFF" w:themeFill="background1"/>
            <w:tcMar>
              <w:top w:w="60" w:type="dxa"/>
              <w:left w:w="100" w:type="dxa"/>
              <w:bottom w:w="60" w:type="dxa"/>
              <w:right w:w="100" w:type="dxa"/>
            </w:tcMar>
            <w:vAlign w:val="center"/>
          </w:tcPr>
          <w:p w14:paraId="355B382D"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8,176,100,347</w:t>
            </w:r>
          </w:p>
        </w:tc>
        <w:tc>
          <w:tcPr>
            <w:tcW w:w="2497" w:type="dxa"/>
            <w:shd w:val="clear" w:color="auto" w:fill="FFFFFF" w:themeFill="background1"/>
            <w:tcMar>
              <w:top w:w="60" w:type="dxa"/>
              <w:left w:w="100" w:type="dxa"/>
              <w:bottom w:w="60" w:type="dxa"/>
              <w:right w:w="100" w:type="dxa"/>
            </w:tcMar>
            <w:vAlign w:val="center"/>
          </w:tcPr>
          <w:p w14:paraId="0786ED45"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6,515,994,895</w:t>
            </w:r>
          </w:p>
        </w:tc>
      </w:tr>
      <w:tr w:rsidR="00905AB4" w:rsidRPr="009D3648" w14:paraId="56B76017"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353070D4"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Share of exposures to financial and non-financial undertakings subject to Articles 19a and 29a of Directive 2013/34/EU, relative to total assets covered by the KPI:</w:t>
            </w:r>
          </w:p>
        </w:tc>
        <w:tc>
          <w:tcPr>
            <w:tcW w:w="2496" w:type="dxa"/>
            <w:shd w:val="clear" w:color="auto" w:fill="FFFFFF" w:themeFill="background1"/>
            <w:tcMar>
              <w:top w:w="60" w:type="dxa"/>
              <w:left w:w="100" w:type="dxa"/>
              <w:bottom w:w="60" w:type="dxa"/>
              <w:right w:w="100" w:type="dxa"/>
            </w:tcMar>
            <w:vAlign w:val="center"/>
          </w:tcPr>
          <w:p w14:paraId="1E6534A2"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2BA0E67F" w14:textId="77777777" w:rsidR="00905AB4" w:rsidRPr="009D3648" w:rsidRDefault="00905AB4" w:rsidP="00905AB4">
            <w:pPr>
              <w:rPr>
                <w:rFonts w:ascii="Calibri" w:hAnsi="Calibri" w:cs="Calibri"/>
                <w:sz w:val="22"/>
                <w:szCs w:val="22"/>
                <w:lang w:val="en-GB"/>
              </w:rPr>
            </w:pPr>
          </w:p>
        </w:tc>
      </w:tr>
      <w:tr w:rsidR="00905AB4" w:rsidRPr="009D3648" w14:paraId="2931F593"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53EE36E9"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non-financial undertakings</w:t>
            </w:r>
          </w:p>
        </w:tc>
        <w:tc>
          <w:tcPr>
            <w:tcW w:w="2496" w:type="dxa"/>
            <w:shd w:val="clear" w:color="auto" w:fill="FFFFFF" w:themeFill="background1"/>
            <w:tcMar>
              <w:top w:w="60" w:type="dxa"/>
              <w:left w:w="100" w:type="dxa"/>
              <w:bottom w:w="60" w:type="dxa"/>
              <w:right w:w="100" w:type="dxa"/>
            </w:tcMar>
            <w:vAlign w:val="center"/>
          </w:tcPr>
          <w:p w14:paraId="74BD5957"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15%</w:t>
            </w:r>
          </w:p>
        </w:tc>
        <w:tc>
          <w:tcPr>
            <w:tcW w:w="2497" w:type="dxa"/>
            <w:shd w:val="clear" w:color="auto" w:fill="FFFFFF" w:themeFill="background1"/>
            <w:tcMar>
              <w:top w:w="60" w:type="dxa"/>
              <w:left w:w="100" w:type="dxa"/>
              <w:bottom w:w="60" w:type="dxa"/>
              <w:right w:w="100" w:type="dxa"/>
            </w:tcMar>
            <w:vAlign w:val="center"/>
          </w:tcPr>
          <w:p w14:paraId="1F195080"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16%</w:t>
            </w:r>
          </w:p>
        </w:tc>
      </w:tr>
      <w:tr w:rsidR="00905AB4" w:rsidRPr="009D3648" w14:paraId="44E1B362"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7CA6CF48"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financial undertakings</w:t>
            </w:r>
          </w:p>
        </w:tc>
        <w:tc>
          <w:tcPr>
            <w:tcW w:w="2496" w:type="dxa"/>
            <w:shd w:val="clear" w:color="auto" w:fill="FFFFFF" w:themeFill="background1"/>
            <w:tcMar>
              <w:top w:w="60" w:type="dxa"/>
              <w:left w:w="100" w:type="dxa"/>
              <w:bottom w:w="60" w:type="dxa"/>
              <w:right w:w="100" w:type="dxa"/>
            </w:tcMar>
            <w:vAlign w:val="center"/>
          </w:tcPr>
          <w:p w14:paraId="266AF6EB"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22%</w:t>
            </w:r>
          </w:p>
        </w:tc>
        <w:tc>
          <w:tcPr>
            <w:tcW w:w="2497" w:type="dxa"/>
            <w:shd w:val="clear" w:color="auto" w:fill="FFFFFF" w:themeFill="background1"/>
            <w:tcMar>
              <w:top w:w="60" w:type="dxa"/>
              <w:left w:w="100" w:type="dxa"/>
              <w:bottom w:w="60" w:type="dxa"/>
              <w:right w:w="100" w:type="dxa"/>
            </w:tcMar>
            <w:vAlign w:val="center"/>
          </w:tcPr>
          <w:p w14:paraId="708F4F4A"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21%</w:t>
            </w:r>
          </w:p>
        </w:tc>
      </w:tr>
      <w:tr w:rsidR="00905AB4" w:rsidRPr="009D3648" w14:paraId="3A5A3BDB"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21AB86DA"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exposures to financial and non-financial undertakings subject to Articles 19a and 29a of Directive 2013/34/EU:</w:t>
            </w:r>
          </w:p>
        </w:tc>
        <w:tc>
          <w:tcPr>
            <w:tcW w:w="2496" w:type="dxa"/>
            <w:shd w:val="clear" w:color="auto" w:fill="FFFFFF" w:themeFill="background1"/>
            <w:tcMar>
              <w:top w:w="60" w:type="dxa"/>
              <w:left w:w="100" w:type="dxa"/>
              <w:bottom w:w="60" w:type="dxa"/>
              <w:right w:w="100" w:type="dxa"/>
            </w:tcMar>
            <w:vAlign w:val="center"/>
          </w:tcPr>
          <w:p w14:paraId="4C612147" w14:textId="77777777" w:rsidR="00905AB4" w:rsidRPr="009D3648" w:rsidRDefault="00905AB4" w:rsidP="00905AB4">
            <w:pPr>
              <w:rPr>
                <w:rFonts w:ascii="Calibri" w:hAnsi="Calibri" w:cs="Calibri"/>
                <w:sz w:val="22"/>
                <w:szCs w:val="22"/>
                <w:lang w:val="en-GB"/>
              </w:rPr>
            </w:pPr>
          </w:p>
        </w:tc>
        <w:tc>
          <w:tcPr>
            <w:tcW w:w="2497" w:type="dxa"/>
            <w:shd w:val="clear" w:color="auto" w:fill="FFFFFF" w:themeFill="background1"/>
            <w:tcMar>
              <w:top w:w="60" w:type="dxa"/>
              <w:left w:w="100" w:type="dxa"/>
              <w:bottom w:w="60" w:type="dxa"/>
              <w:right w:w="100" w:type="dxa"/>
            </w:tcMar>
            <w:vAlign w:val="center"/>
          </w:tcPr>
          <w:p w14:paraId="45467097" w14:textId="77777777" w:rsidR="00905AB4" w:rsidRPr="009D3648" w:rsidRDefault="00905AB4" w:rsidP="00905AB4">
            <w:pPr>
              <w:rPr>
                <w:rFonts w:ascii="Calibri" w:hAnsi="Calibri" w:cs="Calibri"/>
                <w:sz w:val="22"/>
                <w:szCs w:val="22"/>
                <w:lang w:val="en-GB"/>
              </w:rPr>
            </w:pPr>
          </w:p>
        </w:tc>
      </w:tr>
      <w:tr w:rsidR="00905AB4" w:rsidRPr="009D3648" w14:paraId="583F6F84"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32B702B9"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non-financial undertakings</w:t>
            </w:r>
          </w:p>
        </w:tc>
        <w:tc>
          <w:tcPr>
            <w:tcW w:w="2496" w:type="dxa"/>
            <w:shd w:val="clear" w:color="auto" w:fill="FFFFFF" w:themeFill="background1"/>
            <w:tcMar>
              <w:top w:w="60" w:type="dxa"/>
              <w:left w:w="100" w:type="dxa"/>
              <w:bottom w:w="60" w:type="dxa"/>
              <w:right w:w="100" w:type="dxa"/>
            </w:tcMar>
            <w:vAlign w:val="center"/>
          </w:tcPr>
          <w:p w14:paraId="31F03598"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9,528,429,197</w:t>
            </w:r>
          </w:p>
        </w:tc>
        <w:tc>
          <w:tcPr>
            <w:tcW w:w="2497" w:type="dxa"/>
            <w:shd w:val="clear" w:color="auto" w:fill="FFFFFF" w:themeFill="background1"/>
            <w:tcMar>
              <w:top w:w="60" w:type="dxa"/>
              <w:left w:w="100" w:type="dxa"/>
              <w:bottom w:w="60" w:type="dxa"/>
              <w:right w:w="100" w:type="dxa"/>
            </w:tcMar>
            <w:vAlign w:val="center"/>
          </w:tcPr>
          <w:p w14:paraId="6744DF82"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9,581,549,927</w:t>
            </w:r>
          </w:p>
        </w:tc>
      </w:tr>
      <w:tr w:rsidR="00905AB4" w:rsidRPr="009D3648" w14:paraId="65C15E12"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14A60D5F"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For financial undertakings</w:t>
            </w:r>
          </w:p>
        </w:tc>
        <w:tc>
          <w:tcPr>
            <w:tcW w:w="2496" w:type="dxa"/>
            <w:shd w:val="clear" w:color="auto" w:fill="FFFFFF" w:themeFill="background1"/>
            <w:tcMar>
              <w:top w:w="60" w:type="dxa"/>
              <w:left w:w="100" w:type="dxa"/>
              <w:bottom w:w="60" w:type="dxa"/>
              <w:right w:w="100" w:type="dxa"/>
            </w:tcMar>
            <w:vAlign w:val="center"/>
          </w:tcPr>
          <w:p w14:paraId="415BB700"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14,330,386,901</w:t>
            </w:r>
          </w:p>
        </w:tc>
        <w:tc>
          <w:tcPr>
            <w:tcW w:w="2497" w:type="dxa"/>
            <w:shd w:val="clear" w:color="auto" w:fill="FFFFFF" w:themeFill="background1"/>
            <w:tcMar>
              <w:top w:w="60" w:type="dxa"/>
              <w:left w:w="100" w:type="dxa"/>
              <w:bottom w:w="60" w:type="dxa"/>
              <w:right w:w="100" w:type="dxa"/>
            </w:tcMar>
            <w:vAlign w:val="center"/>
          </w:tcPr>
          <w:p w14:paraId="76884B65"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12,255,177,720</w:t>
            </w:r>
          </w:p>
        </w:tc>
      </w:tr>
      <w:tr w:rsidR="00905AB4" w:rsidRPr="009D3648" w14:paraId="56AD75D6"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4642C675"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Share of exposures to other counterparties and assets, relative to total assets covered by the KPI:</w:t>
            </w:r>
          </w:p>
        </w:tc>
        <w:tc>
          <w:tcPr>
            <w:tcW w:w="2496" w:type="dxa"/>
            <w:shd w:val="clear" w:color="auto" w:fill="FFFFFF" w:themeFill="background1"/>
            <w:tcMar>
              <w:top w:w="60" w:type="dxa"/>
              <w:left w:w="100" w:type="dxa"/>
              <w:bottom w:w="60" w:type="dxa"/>
              <w:right w:w="100" w:type="dxa"/>
            </w:tcMar>
            <w:vAlign w:val="center"/>
          </w:tcPr>
          <w:p w14:paraId="0AC46241"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26%</w:t>
            </w:r>
          </w:p>
        </w:tc>
        <w:tc>
          <w:tcPr>
            <w:tcW w:w="2497" w:type="dxa"/>
            <w:shd w:val="clear" w:color="auto" w:fill="FFFFFF" w:themeFill="background1"/>
            <w:tcMar>
              <w:top w:w="60" w:type="dxa"/>
              <w:left w:w="100" w:type="dxa"/>
              <w:bottom w:w="60" w:type="dxa"/>
              <w:right w:w="100" w:type="dxa"/>
            </w:tcMar>
            <w:vAlign w:val="center"/>
          </w:tcPr>
          <w:p w14:paraId="2AFA12BC"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26%</w:t>
            </w:r>
          </w:p>
        </w:tc>
      </w:tr>
      <w:tr w:rsidR="00905AB4" w:rsidRPr="009D3648" w14:paraId="005DC5C2"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578E6DC7"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lastRenderedPageBreak/>
              <w:t>Value of exposures to other counterparties and assets:</w:t>
            </w:r>
          </w:p>
        </w:tc>
        <w:tc>
          <w:tcPr>
            <w:tcW w:w="2496" w:type="dxa"/>
            <w:shd w:val="clear" w:color="auto" w:fill="FFFFFF" w:themeFill="background1"/>
            <w:tcMar>
              <w:top w:w="60" w:type="dxa"/>
              <w:left w:w="100" w:type="dxa"/>
              <w:bottom w:w="60" w:type="dxa"/>
              <w:right w:w="100" w:type="dxa"/>
            </w:tcMar>
            <w:vAlign w:val="center"/>
          </w:tcPr>
          <w:p w14:paraId="0E165FBC"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16,347,416,124</w:t>
            </w:r>
          </w:p>
        </w:tc>
        <w:tc>
          <w:tcPr>
            <w:tcW w:w="2497" w:type="dxa"/>
            <w:shd w:val="clear" w:color="auto" w:fill="FFFFFF" w:themeFill="background1"/>
            <w:tcMar>
              <w:top w:w="60" w:type="dxa"/>
              <w:left w:w="100" w:type="dxa"/>
              <w:bottom w:w="60" w:type="dxa"/>
              <w:right w:w="100" w:type="dxa"/>
            </w:tcMar>
            <w:vAlign w:val="center"/>
          </w:tcPr>
          <w:p w14:paraId="0B636D1E"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15,077,219,299</w:t>
            </w:r>
          </w:p>
        </w:tc>
      </w:tr>
      <w:tr w:rsidR="00905AB4" w:rsidRPr="009D3648" w14:paraId="56C3C691"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28785D3F"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Share of investments by the insurance or reinsurance undertaking, other than those held in unit-linked life insurance contracts where the investment risk is borne by the policyholder, that are intended to finance or are associated with Taxonomy-aligned economic activities:</w:t>
            </w:r>
          </w:p>
        </w:tc>
        <w:tc>
          <w:tcPr>
            <w:tcW w:w="2496" w:type="dxa"/>
            <w:shd w:val="clear" w:color="auto" w:fill="FFFFFF" w:themeFill="background1"/>
            <w:tcMar>
              <w:top w:w="60" w:type="dxa"/>
              <w:left w:w="100" w:type="dxa"/>
              <w:bottom w:w="60" w:type="dxa"/>
              <w:right w:w="100" w:type="dxa"/>
            </w:tcMar>
            <w:vAlign w:val="center"/>
          </w:tcPr>
          <w:p w14:paraId="2C9E1574"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74%</w:t>
            </w:r>
          </w:p>
        </w:tc>
        <w:tc>
          <w:tcPr>
            <w:tcW w:w="2497" w:type="dxa"/>
            <w:shd w:val="clear" w:color="auto" w:fill="FFFFFF" w:themeFill="background1"/>
            <w:tcMar>
              <w:top w:w="60" w:type="dxa"/>
              <w:left w:w="100" w:type="dxa"/>
              <w:bottom w:w="60" w:type="dxa"/>
              <w:right w:w="100" w:type="dxa"/>
            </w:tcMar>
            <w:vAlign w:val="center"/>
          </w:tcPr>
          <w:p w14:paraId="47A9C3A7"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74%</w:t>
            </w:r>
          </w:p>
        </w:tc>
      </w:tr>
      <w:tr w:rsidR="00905AB4" w:rsidRPr="009D3648" w14:paraId="4A7B8713"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2FA58DE8"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investments by the insurance or reinsurance undertaking, other than those held in unit-linked life insurance contracts where the investment risk is borne by the policyholder, that are intended to finance or are associated with Taxonomy-aligned economic activities:</w:t>
            </w:r>
          </w:p>
        </w:tc>
        <w:tc>
          <w:tcPr>
            <w:tcW w:w="2496" w:type="dxa"/>
            <w:shd w:val="clear" w:color="auto" w:fill="FFFFFF" w:themeFill="background1"/>
            <w:tcMar>
              <w:top w:w="60" w:type="dxa"/>
              <w:left w:w="100" w:type="dxa"/>
              <w:bottom w:w="60" w:type="dxa"/>
              <w:right w:w="100" w:type="dxa"/>
            </w:tcMar>
            <w:vAlign w:val="center"/>
          </w:tcPr>
          <w:p w14:paraId="7D41BFF7"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47,129,390,607</w:t>
            </w:r>
          </w:p>
        </w:tc>
        <w:tc>
          <w:tcPr>
            <w:tcW w:w="2497" w:type="dxa"/>
            <w:shd w:val="clear" w:color="auto" w:fill="FFFFFF" w:themeFill="background1"/>
            <w:tcMar>
              <w:top w:w="60" w:type="dxa"/>
              <w:left w:w="100" w:type="dxa"/>
              <w:bottom w:w="60" w:type="dxa"/>
              <w:right w:w="100" w:type="dxa"/>
            </w:tcMar>
            <w:vAlign w:val="center"/>
          </w:tcPr>
          <w:p w14:paraId="5E6E59E5"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43,024,590,099</w:t>
            </w:r>
          </w:p>
        </w:tc>
      </w:tr>
      <w:tr w:rsidR="00905AB4" w:rsidRPr="009D3648" w14:paraId="53BD01C9"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7FF9B86B"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all investments financing Taxonomy-non-eligible economic activities relative to the total value of assets covered by the KPI:</w:t>
            </w:r>
          </w:p>
        </w:tc>
        <w:tc>
          <w:tcPr>
            <w:tcW w:w="2496" w:type="dxa"/>
            <w:shd w:val="clear" w:color="auto" w:fill="FFFFFF" w:themeFill="background1"/>
            <w:tcMar>
              <w:top w:w="60" w:type="dxa"/>
              <w:left w:w="100" w:type="dxa"/>
              <w:bottom w:w="60" w:type="dxa"/>
              <w:right w:w="100" w:type="dxa"/>
            </w:tcMar>
            <w:vAlign w:val="center"/>
          </w:tcPr>
          <w:p w14:paraId="2A24DCE1"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73%</w:t>
            </w:r>
          </w:p>
        </w:tc>
        <w:tc>
          <w:tcPr>
            <w:tcW w:w="2497" w:type="dxa"/>
            <w:shd w:val="clear" w:color="auto" w:fill="FFFFFF" w:themeFill="background1"/>
            <w:tcMar>
              <w:top w:w="60" w:type="dxa"/>
              <w:left w:w="100" w:type="dxa"/>
              <w:bottom w:w="60" w:type="dxa"/>
              <w:right w:w="100" w:type="dxa"/>
            </w:tcMar>
            <w:vAlign w:val="center"/>
          </w:tcPr>
          <w:p w14:paraId="633A6EE4"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71%</w:t>
            </w:r>
          </w:p>
        </w:tc>
      </w:tr>
      <w:tr w:rsidR="00905AB4" w:rsidRPr="009D3648" w14:paraId="2F07AD5C"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14FA5783"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all investments financing Taxonomy-non-eligible economic activities:</w:t>
            </w:r>
          </w:p>
        </w:tc>
        <w:tc>
          <w:tcPr>
            <w:tcW w:w="2496" w:type="dxa"/>
            <w:shd w:val="clear" w:color="auto" w:fill="FFFFFF" w:themeFill="background1"/>
            <w:tcMar>
              <w:top w:w="60" w:type="dxa"/>
              <w:left w:w="100" w:type="dxa"/>
              <w:bottom w:w="60" w:type="dxa"/>
              <w:right w:w="100" w:type="dxa"/>
            </w:tcMar>
            <w:vAlign w:val="center"/>
          </w:tcPr>
          <w:p w14:paraId="62FBE7BF"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46,624,787,975</w:t>
            </w:r>
          </w:p>
        </w:tc>
        <w:tc>
          <w:tcPr>
            <w:tcW w:w="2497" w:type="dxa"/>
            <w:shd w:val="clear" w:color="auto" w:fill="FFFFFF" w:themeFill="background1"/>
            <w:tcMar>
              <w:top w:w="60" w:type="dxa"/>
              <w:left w:w="100" w:type="dxa"/>
              <w:bottom w:w="60" w:type="dxa"/>
              <w:right w:w="100" w:type="dxa"/>
            </w:tcMar>
            <w:vAlign w:val="center"/>
          </w:tcPr>
          <w:p w14:paraId="74F67C33"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41,554,619,710</w:t>
            </w:r>
          </w:p>
        </w:tc>
      </w:tr>
      <w:tr w:rsidR="00905AB4" w:rsidRPr="009D3648" w14:paraId="76E9992A"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54926D93"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all investments financing Taxonomy-eligible but not Taxonomy-aligned economic activities, relative to the total value of assets covered by the KPI:</w:t>
            </w:r>
          </w:p>
        </w:tc>
        <w:tc>
          <w:tcPr>
            <w:tcW w:w="2496" w:type="dxa"/>
            <w:shd w:val="clear" w:color="auto" w:fill="FFFFFF" w:themeFill="background1"/>
            <w:tcMar>
              <w:top w:w="60" w:type="dxa"/>
              <w:left w:w="100" w:type="dxa"/>
              <w:bottom w:w="60" w:type="dxa"/>
              <w:right w:w="100" w:type="dxa"/>
            </w:tcMar>
            <w:vAlign w:val="center"/>
          </w:tcPr>
          <w:p w14:paraId="1082815D"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74%</w:t>
            </w:r>
          </w:p>
        </w:tc>
        <w:tc>
          <w:tcPr>
            <w:tcW w:w="2497" w:type="dxa"/>
            <w:shd w:val="clear" w:color="auto" w:fill="FFFFFF" w:themeFill="background1"/>
            <w:tcMar>
              <w:top w:w="60" w:type="dxa"/>
              <w:left w:w="100" w:type="dxa"/>
              <w:bottom w:w="60" w:type="dxa"/>
              <w:right w:w="100" w:type="dxa"/>
            </w:tcMar>
            <w:vAlign w:val="center"/>
          </w:tcPr>
          <w:p w14:paraId="79A981E8"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74%</w:t>
            </w:r>
          </w:p>
        </w:tc>
      </w:tr>
      <w:tr w:rsidR="00905AB4" w:rsidRPr="009D3648" w14:paraId="5115F0BC" w14:textId="77777777" w:rsidTr="00905AB4">
        <w:tblPrEx>
          <w:tblCellMar>
            <w:top w:w="0" w:type="dxa"/>
            <w:bottom w:w="0" w:type="dxa"/>
          </w:tblCellMar>
        </w:tblPrEx>
        <w:tc>
          <w:tcPr>
            <w:tcW w:w="5350" w:type="dxa"/>
            <w:shd w:val="clear" w:color="auto" w:fill="FFFFFF" w:themeFill="background1"/>
            <w:tcMar>
              <w:top w:w="60" w:type="dxa"/>
              <w:left w:w="100" w:type="dxa"/>
              <w:bottom w:w="60" w:type="dxa"/>
              <w:right w:w="100" w:type="dxa"/>
            </w:tcMar>
            <w:vAlign w:val="center"/>
          </w:tcPr>
          <w:p w14:paraId="7AA5D212" w14:textId="77777777" w:rsidR="00905AB4" w:rsidRPr="009D3648" w:rsidRDefault="00905AB4" w:rsidP="00905AB4">
            <w:pPr>
              <w:rPr>
                <w:rFonts w:ascii="Calibri" w:hAnsi="Calibri" w:cs="Calibri"/>
                <w:sz w:val="22"/>
                <w:szCs w:val="22"/>
                <w:lang w:val="en-GB"/>
              </w:rPr>
            </w:pPr>
            <w:r w:rsidRPr="009D3648">
              <w:rPr>
                <w:rFonts w:ascii="Calibri" w:hAnsi="Calibri" w:cs="Calibri"/>
                <w:b/>
                <w:bCs/>
                <w:color w:val="000000"/>
                <w:sz w:val="22"/>
                <w:szCs w:val="22"/>
                <w:lang w:val="en-GB"/>
              </w:rPr>
              <w:t>Value of all investments financing Taxonomy-eligible but not Taxonomy-aligned economic activities:</w:t>
            </w:r>
          </w:p>
        </w:tc>
        <w:tc>
          <w:tcPr>
            <w:tcW w:w="2496" w:type="dxa"/>
            <w:shd w:val="clear" w:color="auto" w:fill="FFFFFF" w:themeFill="background1"/>
            <w:tcMar>
              <w:top w:w="60" w:type="dxa"/>
              <w:left w:w="100" w:type="dxa"/>
              <w:bottom w:w="60" w:type="dxa"/>
              <w:right w:w="100" w:type="dxa"/>
            </w:tcMar>
            <w:vAlign w:val="center"/>
          </w:tcPr>
          <w:p w14:paraId="4678F972"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47,129,390,607</w:t>
            </w:r>
          </w:p>
        </w:tc>
        <w:tc>
          <w:tcPr>
            <w:tcW w:w="2497" w:type="dxa"/>
            <w:shd w:val="clear" w:color="auto" w:fill="FFFFFF" w:themeFill="background1"/>
            <w:tcMar>
              <w:top w:w="60" w:type="dxa"/>
              <w:left w:w="100" w:type="dxa"/>
              <w:bottom w:w="60" w:type="dxa"/>
              <w:right w:w="100" w:type="dxa"/>
            </w:tcMar>
            <w:vAlign w:val="center"/>
          </w:tcPr>
          <w:p w14:paraId="2A065C76" w14:textId="77777777" w:rsidR="00905AB4" w:rsidRPr="009D3648" w:rsidRDefault="00905AB4" w:rsidP="00905AB4">
            <w:pPr>
              <w:jc w:val="center"/>
              <w:rPr>
                <w:rFonts w:ascii="Calibri" w:hAnsi="Calibri" w:cs="Calibri"/>
                <w:sz w:val="22"/>
                <w:szCs w:val="22"/>
                <w:lang w:val="en-GB"/>
              </w:rPr>
            </w:pPr>
            <w:r w:rsidRPr="009D3648">
              <w:rPr>
                <w:rFonts w:ascii="Calibri" w:hAnsi="Calibri" w:cs="Calibri"/>
                <w:color w:val="000000"/>
                <w:sz w:val="22"/>
                <w:szCs w:val="22"/>
                <w:lang w:val="en-GB"/>
              </w:rPr>
              <w:t>43,024,590,099</w:t>
            </w:r>
          </w:p>
        </w:tc>
      </w:tr>
    </w:tbl>
    <w:p w14:paraId="51C13C47" w14:textId="11CFDCE2" w:rsidR="00905AB4" w:rsidRDefault="00905AB4">
      <w:pPr>
        <w:rPr>
          <w:rFonts w:ascii="Calibri" w:hAnsi="Calibri" w:cs="Calibri"/>
          <w:sz w:val="22"/>
          <w:szCs w:val="22"/>
          <w:lang w:val="en-GB"/>
        </w:rPr>
      </w:pPr>
    </w:p>
    <w:p w14:paraId="6E59878A" w14:textId="77777777" w:rsidR="00905AB4" w:rsidRDefault="00905AB4">
      <w:pPr>
        <w:rPr>
          <w:rFonts w:ascii="Calibri" w:hAnsi="Calibri" w:cs="Calibri"/>
          <w:sz w:val="22"/>
          <w:szCs w:val="22"/>
          <w:lang w:val="en-GB"/>
        </w:rPr>
      </w:pPr>
      <w:r>
        <w:rPr>
          <w:rFonts w:ascii="Calibri" w:hAnsi="Calibri" w:cs="Calibri"/>
          <w:sz w:val="22"/>
          <w:szCs w:val="22"/>
          <w:lang w:val="en-GB"/>
        </w:rPr>
        <w:br w:type="page"/>
      </w:r>
    </w:p>
    <w:p w14:paraId="328952FD" w14:textId="77777777" w:rsidR="00C7275F" w:rsidRPr="00A7450A" w:rsidRDefault="00932CE0">
      <w:pPr>
        <w:spacing w:before="200" w:after="100"/>
        <w:rPr>
          <w:rFonts w:ascii="Calibri" w:hAnsi="Calibri" w:cs="Calibri"/>
          <w:sz w:val="22"/>
          <w:szCs w:val="22"/>
          <w:u w:val="single"/>
          <w:lang w:val="en-GB"/>
        </w:rPr>
      </w:pPr>
      <w:r w:rsidRPr="00A7450A">
        <w:rPr>
          <w:rFonts w:ascii="Calibri" w:hAnsi="Calibri" w:cs="Calibri"/>
          <w:b/>
          <w:bCs/>
          <w:sz w:val="22"/>
          <w:szCs w:val="22"/>
          <w:u w:val="single"/>
          <w:lang w:val="en-GB"/>
        </w:rPr>
        <w:lastRenderedPageBreak/>
        <w:t>Taxonomy – Investment Indicators – Template relating to Gas &amp; Nuclear activities (TAXO-KPI-Invest-Tab1)</w:t>
      </w:r>
    </w:p>
    <w:p w14:paraId="59417266" w14:textId="77777777" w:rsidR="00C7275F" w:rsidRPr="009D3648" w:rsidRDefault="00932CE0">
      <w:pPr>
        <w:spacing w:before="120" w:after="60"/>
        <w:rPr>
          <w:rFonts w:ascii="Calibri" w:hAnsi="Calibri" w:cs="Calibri"/>
          <w:sz w:val="22"/>
          <w:szCs w:val="22"/>
          <w:lang w:val="en-GB"/>
        </w:rPr>
      </w:pPr>
      <w:r w:rsidRPr="009D3648">
        <w:rPr>
          <w:rFonts w:ascii="Calibri" w:hAnsi="Calibri" w:cs="Calibri"/>
          <w:b/>
          <w:bCs/>
          <w:i/>
          <w:iCs/>
          <w:sz w:val="22"/>
          <w:szCs w:val="22"/>
          <w:lang w:val="en-GB"/>
        </w:rPr>
        <w:t>Template 1 relating to Gas &amp; Nuclear activities</w:t>
      </w:r>
    </w:p>
    <w:tbl>
      <w:tblPr>
        <w:tblW w:w="103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4A0" w:firstRow="1" w:lastRow="0" w:firstColumn="1" w:lastColumn="0" w:noHBand="0" w:noVBand="1"/>
      </w:tblPr>
      <w:tblGrid>
        <w:gridCol w:w="7350"/>
        <w:gridCol w:w="2993"/>
      </w:tblGrid>
      <w:tr w:rsidR="00C7275F" w:rsidRPr="009D3648" w14:paraId="6CA4A657" w14:textId="77777777" w:rsidTr="00A7450A">
        <w:tblPrEx>
          <w:tblCellMar>
            <w:top w:w="0" w:type="dxa"/>
            <w:bottom w:w="0" w:type="dxa"/>
          </w:tblCellMar>
        </w:tblPrEx>
        <w:tc>
          <w:tcPr>
            <w:tcW w:w="7350" w:type="dxa"/>
            <w:shd w:val="clear" w:color="auto" w:fill="1F4E79"/>
            <w:tcMar>
              <w:top w:w="60" w:type="dxa"/>
              <w:left w:w="100" w:type="dxa"/>
              <w:bottom w:w="60" w:type="dxa"/>
              <w:right w:w="100" w:type="dxa"/>
            </w:tcMar>
            <w:vAlign w:val="center"/>
          </w:tcPr>
          <w:p w14:paraId="3ECE9FA0" w14:textId="77777777" w:rsidR="00C7275F" w:rsidRPr="009D3648" w:rsidRDefault="00C7275F">
            <w:pPr>
              <w:jc w:val="center"/>
              <w:rPr>
                <w:rFonts w:ascii="Calibri" w:hAnsi="Calibri" w:cs="Calibri"/>
                <w:sz w:val="22"/>
                <w:szCs w:val="22"/>
                <w:lang w:val="en-GB"/>
              </w:rPr>
            </w:pPr>
          </w:p>
        </w:tc>
        <w:tc>
          <w:tcPr>
            <w:tcW w:w="2993" w:type="dxa"/>
            <w:shd w:val="clear" w:color="auto" w:fill="1F4E79"/>
            <w:tcMar>
              <w:top w:w="60" w:type="dxa"/>
              <w:left w:w="100" w:type="dxa"/>
              <w:bottom w:w="60" w:type="dxa"/>
              <w:right w:w="100" w:type="dxa"/>
            </w:tcMar>
            <w:vAlign w:val="center"/>
          </w:tcPr>
          <w:p w14:paraId="17CE9E89"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Nuclear energy related activities</w:t>
            </w:r>
          </w:p>
        </w:tc>
      </w:tr>
      <w:tr w:rsidR="00C7275F" w:rsidRPr="009D3648" w14:paraId="4E95A75C" w14:textId="77777777" w:rsidTr="00A7450A">
        <w:tblPrEx>
          <w:tblCellMar>
            <w:top w:w="0" w:type="dxa"/>
            <w:bottom w:w="0" w:type="dxa"/>
          </w:tblCellMar>
        </w:tblPrEx>
        <w:tc>
          <w:tcPr>
            <w:tcW w:w="7350" w:type="dxa"/>
            <w:shd w:val="clear" w:color="auto" w:fill="FFFFFF"/>
            <w:tcMar>
              <w:top w:w="60" w:type="dxa"/>
              <w:left w:w="100" w:type="dxa"/>
              <w:bottom w:w="60" w:type="dxa"/>
              <w:right w:w="100" w:type="dxa"/>
            </w:tcMar>
            <w:vAlign w:val="center"/>
          </w:tcPr>
          <w:p w14:paraId="038E36C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The undertaking carries out, funds or is exposed to research, development, demonstration and deployment activities relating to innovative electricity generation facilities that produce energy from nuclear processes with minimal waste from the fuel cycle.</w:t>
            </w:r>
          </w:p>
        </w:tc>
        <w:tc>
          <w:tcPr>
            <w:tcW w:w="2993" w:type="dxa"/>
            <w:shd w:val="clear" w:color="auto" w:fill="FFFFFF"/>
            <w:tcMar>
              <w:top w:w="60" w:type="dxa"/>
              <w:left w:w="100" w:type="dxa"/>
              <w:bottom w:w="60" w:type="dxa"/>
              <w:right w:w="100" w:type="dxa"/>
            </w:tcMar>
            <w:vAlign w:val="center"/>
          </w:tcPr>
          <w:p w14:paraId="01D7CB0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YES</w:t>
            </w:r>
          </w:p>
        </w:tc>
      </w:tr>
      <w:tr w:rsidR="00C7275F" w:rsidRPr="009D3648" w14:paraId="46DC28F0" w14:textId="77777777" w:rsidTr="00A7450A">
        <w:tblPrEx>
          <w:tblCellMar>
            <w:top w:w="0" w:type="dxa"/>
            <w:bottom w:w="0" w:type="dxa"/>
          </w:tblCellMar>
        </w:tblPrEx>
        <w:tc>
          <w:tcPr>
            <w:tcW w:w="7350" w:type="dxa"/>
            <w:shd w:val="clear" w:color="auto" w:fill="FFFFFF"/>
            <w:tcMar>
              <w:top w:w="60" w:type="dxa"/>
              <w:left w:w="100" w:type="dxa"/>
              <w:bottom w:w="60" w:type="dxa"/>
              <w:right w:w="100" w:type="dxa"/>
            </w:tcMar>
            <w:vAlign w:val="center"/>
          </w:tcPr>
          <w:p w14:paraId="5E425501"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The undertaking carries out, funds or is exposed to construction and safe operation of new nuclear installations to produce electricity or process heat, including for the purposes of district heating or industrial processes such as hydrogen production, as well as their safety upgrades, using best available technology.</w:t>
            </w:r>
          </w:p>
        </w:tc>
        <w:tc>
          <w:tcPr>
            <w:tcW w:w="2993" w:type="dxa"/>
            <w:shd w:val="clear" w:color="auto" w:fill="FFFFFF"/>
            <w:tcMar>
              <w:top w:w="60" w:type="dxa"/>
              <w:left w:w="100" w:type="dxa"/>
              <w:bottom w:w="60" w:type="dxa"/>
              <w:right w:w="100" w:type="dxa"/>
            </w:tcMar>
            <w:vAlign w:val="center"/>
          </w:tcPr>
          <w:p w14:paraId="31C3FD6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YES</w:t>
            </w:r>
          </w:p>
        </w:tc>
      </w:tr>
      <w:tr w:rsidR="00C7275F" w:rsidRPr="009D3648" w14:paraId="6D9768E4" w14:textId="77777777" w:rsidTr="00A7450A">
        <w:tblPrEx>
          <w:tblCellMar>
            <w:top w:w="0" w:type="dxa"/>
            <w:bottom w:w="0" w:type="dxa"/>
          </w:tblCellMar>
        </w:tblPrEx>
        <w:tc>
          <w:tcPr>
            <w:tcW w:w="7350" w:type="dxa"/>
            <w:shd w:val="clear" w:color="auto" w:fill="FFFFFF"/>
            <w:tcMar>
              <w:top w:w="60" w:type="dxa"/>
              <w:left w:w="100" w:type="dxa"/>
              <w:bottom w:w="60" w:type="dxa"/>
              <w:right w:w="100" w:type="dxa"/>
            </w:tcMar>
            <w:vAlign w:val="center"/>
          </w:tcPr>
          <w:p w14:paraId="071B4998"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The undertaking carries out, funds or is exposed to safe operation of existing nuclear installations that produce electricity or process heat, including for the purposes of district heating or industrial processes such as hydrogen production, from nuclear energy, as well as their safety upgrades.</w:t>
            </w:r>
          </w:p>
        </w:tc>
        <w:tc>
          <w:tcPr>
            <w:tcW w:w="2993" w:type="dxa"/>
            <w:shd w:val="clear" w:color="auto" w:fill="FFFFFF"/>
            <w:tcMar>
              <w:top w:w="60" w:type="dxa"/>
              <w:left w:w="100" w:type="dxa"/>
              <w:bottom w:w="60" w:type="dxa"/>
              <w:right w:w="100" w:type="dxa"/>
            </w:tcMar>
            <w:vAlign w:val="center"/>
          </w:tcPr>
          <w:p w14:paraId="3CE30DD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YES</w:t>
            </w:r>
          </w:p>
        </w:tc>
      </w:tr>
      <w:tr w:rsidR="00C7275F" w:rsidRPr="009D3648" w14:paraId="0E8C6D81" w14:textId="77777777" w:rsidTr="00A7450A">
        <w:tblPrEx>
          <w:tblCellMar>
            <w:top w:w="0" w:type="dxa"/>
            <w:bottom w:w="0" w:type="dxa"/>
          </w:tblCellMar>
        </w:tblPrEx>
        <w:tc>
          <w:tcPr>
            <w:tcW w:w="7350" w:type="dxa"/>
            <w:shd w:val="clear" w:color="auto" w:fill="1F4E79"/>
            <w:tcMar>
              <w:top w:w="60" w:type="dxa"/>
              <w:left w:w="100" w:type="dxa"/>
              <w:bottom w:w="60" w:type="dxa"/>
              <w:right w:w="100" w:type="dxa"/>
            </w:tcMar>
            <w:vAlign w:val="center"/>
          </w:tcPr>
          <w:p w14:paraId="649FE6F7" w14:textId="77777777" w:rsidR="00C7275F" w:rsidRPr="009D3648" w:rsidRDefault="00C7275F">
            <w:pPr>
              <w:jc w:val="center"/>
              <w:rPr>
                <w:rFonts w:ascii="Calibri" w:hAnsi="Calibri" w:cs="Calibri"/>
                <w:sz w:val="22"/>
                <w:szCs w:val="22"/>
                <w:lang w:val="en-GB"/>
              </w:rPr>
            </w:pPr>
          </w:p>
        </w:tc>
        <w:tc>
          <w:tcPr>
            <w:tcW w:w="2993" w:type="dxa"/>
            <w:shd w:val="clear" w:color="auto" w:fill="1F4E79"/>
            <w:tcMar>
              <w:top w:w="60" w:type="dxa"/>
              <w:left w:w="100" w:type="dxa"/>
              <w:bottom w:w="60" w:type="dxa"/>
              <w:right w:w="100" w:type="dxa"/>
            </w:tcMar>
            <w:vAlign w:val="center"/>
          </w:tcPr>
          <w:p w14:paraId="656C808C"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Nuclear energy related activities</w:t>
            </w:r>
          </w:p>
        </w:tc>
      </w:tr>
      <w:tr w:rsidR="00C7275F" w:rsidRPr="009D3648" w14:paraId="384B6E36" w14:textId="77777777" w:rsidTr="00A7450A">
        <w:tblPrEx>
          <w:tblCellMar>
            <w:top w:w="0" w:type="dxa"/>
            <w:bottom w:w="0" w:type="dxa"/>
          </w:tblCellMar>
        </w:tblPrEx>
        <w:tc>
          <w:tcPr>
            <w:tcW w:w="7350" w:type="dxa"/>
            <w:shd w:val="clear" w:color="auto" w:fill="FFFFFF"/>
            <w:tcMar>
              <w:top w:w="60" w:type="dxa"/>
              <w:left w:w="100" w:type="dxa"/>
              <w:bottom w:w="60" w:type="dxa"/>
              <w:right w:w="100" w:type="dxa"/>
            </w:tcMar>
            <w:vAlign w:val="center"/>
          </w:tcPr>
          <w:p w14:paraId="3C519DE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The undertaking carries out, funds or is exposed to construction or operation of electricity generation facilities that produce electricity using fossil gaseous fuels.</w:t>
            </w:r>
          </w:p>
        </w:tc>
        <w:tc>
          <w:tcPr>
            <w:tcW w:w="2993" w:type="dxa"/>
            <w:shd w:val="clear" w:color="auto" w:fill="FFFFFF"/>
            <w:tcMar>
              <w:top w:w="60" w:type="dxa"/>
              <w:left w:w="100" w:type="dxa"/>
              <w:bottom w:w="60" w:type="dxa"/>
              <w:right w:w="100" w:type="dxa"/>
            </w:tcMar>
            <w:vAlign w:val="center"/>
          </w:tcPr>
          <w:p w14:paraId="22231E3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YES</w:t>
            </w:r>
          </w:p>
        </w:tc>
      </w:tr>
      <w:tr w:rsidR="00C7275F" w:rsidRPr="009D3648" w14:paraId="652C30D9" w14:textId="77777777" w:rsidTr="00A7450A">
        <w:tblPrEx>
          <w:tblCellMar>
            <w:top w:w="0" w:type="dxa"/>
            <w:bottom w:w="0" w:type="dxa"/>
          </w:tblCellMar>
        </w:tblPrEx>
        <w:tc>
          <w:tcPr>
            <w:tcW w:w="7350" w:type="dxa"/>
            <w:shd w:val="clear" w:color="auto" w:fill="FFFFFF"/>
            <w:tcMar>
              <w:top w:w="60" w:type="dxa"/>
              <w:left w:w="100" w:type="dxa"/>
              <w:bottom w:w="60" w:type="dxa"/>
              <w:right w:w="100" w:type="dxa"/>
            </w:tcMar>
            <w:vAlign w:val="center"/>
          </w:tcPr>
          <w:p w14:paraId="40CFF0F9"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The undertaking carries out, funds or is exposed to construction, refurbishment and operation of combined heat/cool and power generation facilities using fossil gaseous fuels.</w:t>
            </w:r>
          </w:p>
        </w:tc>
        <w:tc>
          <w:tcPr>
            <w:tcW w:w="2993" w:type="dxa"/>
            <w:shd w:val="clear" w:color="auto" w:fill="FFFFFF"/>
            <w:tcMar>
              <w:top w:w="60" w:type="dxa"/>
              <w:left w:w="100" w:type="dxa"/>
              <w:bottom w:w="60" w:type="dxa"/>
              <w:right w:w="100" w:type="dxa"/>
            </w:tcMar>
            <w:vAlign w:val="center"/>
          </w:tcPr>
          <w:p w14:paraId="045C54C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YES</w:t>
            </w:r>
          </w:p>
        </w:tc>
      </w:tr>
      <w:tr w:rsidR="00C7275F" w:rsidRPr="009D3648" w14:paraId="7D105996" w14:textId="77777777" w:rsidTr="00A7450A">
        <w:tblPrEx>
          <w:tblCellMar>
            <w:top w:w="0" w:type="dxa"/>
            <w:bottom w:w="0" w:type="dxa"/>
          </w:tblCellMar>
        </w:tblPrEx>
        <w:tc>
          <w:tcPr>
            <w:tcW w:w="7350" w:type="dxa"/>
            <w:shd w:val="clear" w:color="auto" w:fill="FFFFFF"/>
            <w:tcMar>
              <w:top w:w="60" w:type="dxa"/>
              <w:left w:w="100" w:type="dxa"/>
              <w:bottom w:w="60" w:type="dxa"/>
              <w:right w:w="100" w:type="dxa"/>
            </w:tcMar>
            <w:vAlign w:val="center"/>
          </w:tcPr>
          <w:p w14:paraId="6B5AF2A2"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The undertaking carries out, funds or is exposed to safe operation of existing nuclear installations that produce electricity or process heat, including for the purposes of district heating or industrial processes such as hydrogen production, from nuclear energy, as well as their safety upgrades.</w:t>
            </w:r>
          </w:p>
        </w:tc>
        <w:tc>
          <w:tcPr>
            <w:tcW w:w="2993" w:type="dxa"/>
            <w:shd w:val="clear" w:color="auto" w:fill="FFFFFF"/>
            <w:tcMar>
              <w:top w:w="60" w:type="dxa"/>
              <w:left w:w="100" w:type="dxa"/>
              <w:bottom w:w="60" w:type="dxa"/>
              <w:right w:w="100" w:type="dxa"/>
            </w:tcMar>
            <w:vAlign w:val="center"/>
          </w:tcPr>
          <w:p w14:paraId="1B1B301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YES</w:t>
            </w:r>
          </w:p>
        </w:tc>
      </w:tr>
    </w:tbl>
    <w:p w14:paraId="7749C607" w14:textId="77777777" w:rsidR="00C7275F" w:rsidRPr="009D3648" w:rsidRDefault="00C7275F">
      <w:pPr>
        <w:rPr>
          <w:rFonts w:ascii="Calibri" w:hAnsi="Calibri" w:cs="Calibri"/>
          <w:sz w:val="22"/>
          <w:szCs w:val="22"/>
          <w:lang w:val="en-GB"/>
        </w:rPr>
      </w:pPr>
    </w:p>
    <w:p w14:paraId="4FAEBE40" w14:textId="77777777" w:rsidR="00A7450A" w:rsidRDefault="00A7450A">
      <w:pPr>
        <w:rPr>
          <w:rFonts w:ascii="Calibri" w:hAnsi="Calibri" w:cs="Calibri"/>
          <w:b/>
          <w:bCs/>
          <w:sz w:val="22"/>
          <w:szCs w:val="22"/>
          <w:lang w:val="en-GB"/>
        </w:rPr>
      </w:pPr>
      <w:r>
        <w:rPr>
          <w:rFonts w:ascii="Calibri" w:hAnsi="Calibri" w:cs="Calibri"/>
          <w:b/>
          <w:bCs/>
          <w:sz w:val="22"/>
          <w:szCs w:val="22"/>
          <w:lang w:val="en-GB"/>
        </w:rPr>
        <w:br w:type="page"/>
      </w:r>
    </w:p>
    <w:p w14:paraId="643EE22B" w14:textId="6AAED1AD" w:rsidR="00C7275F" w:rsidRPr="009D3648" w:rsidRDefault="00932CE0">
      <w:pPr>
        <w:spacing w:before="200" w:after="100"/>
        <w:rPr>
          <w:rFonts w:ascii="Calibri" w:hAnsi="Calibri" w:cs="Calibri"/>
          <w:sz w:val="22"/>
          <w:szCs w:val="22"/>
          <w:lang w:val="en-GB"/>
        </w:rPr>
      </w:pPr>
      <w:r w:rsidRPr="009D3648">
        <w:rPr>
          <w:rFonts w:ascii="Calibri" w:hAnsi="Calibri" w:cs="Calibri"/>
          <w:b/>
          <w:bCs/>
          <w:sz w:val="22"/>
          <w:szCs w:val="22"/>
          <w:lang w:val="en-GB"/>
        </w:rPr>
        <w:lastRenderedPageBreak/>
        <w:t>TAXO-KPI-Invest-Tab2 – Template 2 relating to Taxonomy-aligned activities (denominator)</w:t>
      </w:r>
    </w:p>
    <w:p w14:paraId="5B776D8D" w14:textId="77777777" w:rsidR="00C7275F" w:rsidRPr="009D3648" w:rsidRDefault="00932CE0">
      <w:pPr>
        <w:spacing w:before="120" w:after="60"/>
        <w:rPr>
          <w:rFonts w:ascii="Calibri" w:hAnsi="Calibri" w:cs="Calibri"/>
          <w:sz w:val="22"/>
          <w:szCs w:val="22"/>
          <w:lang w:val="en-GB"/>
        </w:rPr>
      </w:pPr>
      <w:r w:rsidRPr="009D3648">
        <w:rPr>
          <w:rFonts w:ascii="Calibri" w:hAnsi="Calibri" w:cs="Calibri"/>
          <w:b/>
          <w:bCs/>
          <w:i/>
          <w:iCs/>
          <w:sz w:val="22"/>
          <w:szCs w:val="22"/>
          <w:lang w:val="en-GB"/>
        </w:rPr>
        <w:t>Turnover 2025</w:t>
      </w: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0" w:type="dxa"/>
          <w:right w:w="10" w:type="dxa"/>
        </w:tblCellMar>
        <w:tblLook w:val="04A0" w:firstRow="1" w:lastRow="0" w:firstColumn="1" w:lastColumn="0" w:noHBand="0" w:noVBand="1"/>
      </w:tblPr>
      <w:tblGrid>
        <w:gridCol w:w="4106"/>
        <w:gridCol w:w="1063"/>
        <w:gridCol w:w="1063"/>
        <w:gridCol w:w="1063"/>
        <w:gridCol w:w="1063"/>
        <w:gridCol w:w="1063"/>
        <w:gridCol w:w="1064"/>
      </w:tblGrid>
      <w:tr w:rsidR="00A7450A" w:rsidRPr="009D3648" w14:paraId="733A3CCD" w14:textId="77777777" w:rsidTr="00A7450A">
        <w:tblPrEx>
          <w:tblCellMar>
            <w:top w:w="0" w:type="dxa"/>
            <w:bottom w:w="0" w:type="dxa"/>
          </w:tblCellMar>
        </w:tblPrEx>
        <w:tc>
          <w:tcPr>
            <w:tcW w:w="4106" w:type="dxa"/>
            <w:vMerge w:val="restart"/>
            <w:shd w:val="clear" w:color="auto" w:fill="1F4E79"/>
            <w:tcMar>
              <w:top w:w="60" w:type="dxa"/>
              <w:left w:w="100" w:type="dxa"/>
              <w:bottom w:w="60" w:type="dxa"/>
              <w:right w:w="100" w:type="dxa"/>
            </w:tcMar>
            <w:vAlign w:val="center"/>
          </w:tcPr>
          <w:p w14:paraId="0FB2A393"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Economic activities</w:t>
            </w:r>
          </w:p>
        </w:tc>
        <w:tc>
          <w:tcPr>
            <w:tcW w:w="6379" w:type="dxa"/>
            <w:gridSpan w:val="6"/>
            <w:shd w:val="clear" w:color="auto" w:fill="1F4E79"/>
            <w:tcMar>
              <w:top w:w="60" w:type="dxa"/>
              <w:left w:w="100" w:type="dxa"/>
              <w:bottom w:w="60" w:type="dxa"/>
              <w:right w:w="100" w:type="dxa"/>
            </w:tcMar>
            <w:vAlign w:val="center"/>
          </w:tcPr>
          <w:p w14:paraId="533A00B7"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TURNOVER 2025</w:t>
            </w:r>
          </w:p>
        </w:tc>
      </w:tr>
      <w:tr w:rsidR="00A7450A" w:rsidRPr="009D3648" w14:paraId="47FDC152" w14:textId="77777777" w:rsidTr="00A7450A">
        <w:tblPrEx>
          <w:tblCellMar>
            <w:top w:w="0" w:type="dxa"/>
            <w:bottom w:w="0" w:type="dxa"/>
          </w:tblCellMar>
        </w:tblPrEx>
        <w:tc>
          <w:tcPr>
            <w:tcW w:w="4106" w:type="dxa"/>
            <w:vMerge/>
            <w:shd w:val="clear" w:color="auto" w:fill="1F4E79"/>
            <w:tcMar>
              <w:top w:w="60" w:type="dxa"/>
              <w:left w:w="100" w:type="dxa"/>
              <w:bottom w:w="60" w:type="dxa"/>
              <w:right w:w="100" w:type="dxa"/>
            </w:tcMar>
            <w:vAlign w:val="center"/>
          </w:tcPr>
          <w:p w14:paraId="1C3B79E3" w14:textId="77777777" w:rsidR="00A7450A" w:rsidRPr="009D3648" w:rsidRDefault="00A7450A">
            <w:pPr>
              <w:jc w:val="center"/>
              <w:rPr>
                <w:rFonts w:ascii="Calibri" w:hAnsi="Calibri" w:cs="Calibri"/>
                <w:sz w:val="22"/>
                <w:szCs w:val="22"/>
                <w:lang w:val="en-GB"/>
              </w:rPr>
            </w:pPr>
          </w:p>
        </w:tc>
        <w:tc>
          <w:tcPr>
            <w:tcW w:w="6379" w:type="dxa"/>
            <w:gridSpan w:val="6"/>
            <w:shd w:val="clear" w:color="auto" w:fill="1F4E79"/>
            <w:tcMar>
              <w:top w:w="60" w:type="dxa"/>
              <w:left w:w="100" w:type="dxa"/>
              <w:bottom w:w="60" w:type="dxa"/>
              <w:right w:w="100" w:type="dxa"/>
            </w:tcMar>
            <w:vAlign w:val="center"/>
          </w:tcPr>
          <w:p w14:paraId="30BFC538"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 and proportion (information to be presented in monetary amount and percentage)</w:t>
            </w:r>
          </w:p>
        </w:tc>
      </w:tr>
      <w:tr w:rsidR="00A7450A" w:rsidRPr="009D3648" w14:paraId="5686EDD3" w14:textId="77777777" w:rsidTr="00A7450A">
        <w:tblPrEx>
          <w:tblCellMar>
            <w:top w:w="0" w:type="dxa"/>
            <w:bottom w:w="0" w:type="dxa"/>
          </w:tblCellMar>
        </w:tblPrEx>
        <w:tc>
          <w:tcPr>
            <w:tcW w:w="4106" w:type="dxa"/>
            <w:vMerge/>
            <w:shd w:val="clear" w:color="auto" w:fill="1F4E79"/>
            <w:tcMar>
              <w:top w:w="60" w:type="dxa"/>
              <w:left w:w="100" w:type="dxa"/>
              <w:bottom w:w="60" w:type="dxa"/>
              <w:right w:w="100" w:type="dxa"/>
            </w:tcMar>
            <w:vAlign w:val="center"/>
          </w:tcPr>
          <w:p w14:paraId="6CEE47AB" w14:textId="77777777" w:rsidR="00A7450A" w:rsidRPr="009D3648" w:rsidRDefault="00A7450A">
            <w:pPr>
              <w:jc w:val="center"/>
              <w:rPr>
                <w:rFonts w:ascii="Calibri" w:hAnsi="Calibri" w:cs="Calibri"/>
                <w:sz w:val="22"/>
                <w:szCs w:val="22"/>
                <w:lang w:val="en-GB"/>
              </w:rPr>
            </w:pPr>
          </w:p>
        </w:tc>
        <w:tc>
          <w:tcPr>
            <w:tcW w:w="2126" w:type="dxa"/>
            <w:gridSpan w:val="2"/>
            <w:shd w:val="clear" w:color="auto" w:fill="1F4E79"/>
            <w:tcMar>
              <w:top w:w="60" w:type="dxa"/>
              <w:left w:w="100" w:type="dxa"/>
              <w:bottom w:w="60" w:type="dxa"/>
              <w:right w:w="100" w:type="dxa"/>
            </w:tcMar>
            <w:vAlign w:val="center"/>
          </w:tcPr>
          <w:p w14:paraId="0C406602"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CCM + CCA</w:t>
            </w:r>
          </w:p>
        </w:tc>
        <w:tc>
          <w:tcPr>
            <w:tcW w:w="2126" w:type="dxa"/>
            <w:gridSpan w:val="2"/>
            <w:shd w:val="clear" w:color="auto" w:fill="1F4E79"/>
            <w:tcMar>
              <w:top w:w="60" w:type="dxa"/>
              <w:left w:w="100" w:type="dxa"/>
              <w:bottom w:w="60" w:type="dxa"/>
              <w:right w:w="100" w:type="dxa"/>
            </w:tcMar>
            <w:vAlign w:val="center"/>
          </w:tcPr>
          <w:p w14:paraId="1D960A02"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mitigation (CCM)</w:t>
            </w:r>
          </w:p>
        </w:tc>
        <w:tc>
          <w:tcPr>
            <w:tcW w:w="2127" w:type="dxa"/>
            <w:gridSpan w:val="2"/>
            <w:shd w:val="clear" w:color="auto" w:fill="1F4E79"/>
            <w:tcMar>
              <w:top w:w="60" w:type="dxa"/>
              <w:left w:w="100" w:type="dxa"/>
              <w:bottom w:w="60" w:type="dxa"/>
              <w:right w:w="100" w:type="dxa"/>
            </w:tcMar>
            <w:vAlign w:val="center"/>
          </w:tcPr>
          <w:p w14:paraId="200AB9CF"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adaptation (CCA)</w:t>
            </w:r>
          </w:p>
        </w:tc>
      </w:tr>
      <w:tr w:rsidR="00A7450A" w:rsidRPr="009D3648" w14:paraId="06DD00C4" w14:textId="77777777" w:rsidTr="00A7450A">
        <w:tblPrEx>
          <w:tblCellMar>
            <w:top w:w="0" w:type="dxa"/>
            <w:bottom w:w="0" w:type="dxa"/>
          </w:tblCellMar>
        </w:tblPrEx>
        <w:tc>
          <w:tcPr>
            <w:tcW w:w="4106" w:type="dxa"/>
            <w:vMerge/>
            <w:shd w:val="clear" w:color="auto" w:fill="1F4E79"/>
            <w:tcMar>
              <w:top w:w="60" w:type="dxa"/>
              <w:left w:w="100" w:type="dxa"/>
              <w:bottom w:w="60" w:type="dxa"/>
              <w:right w:w="100" w:type="dxa"/>
            </w:tcMar>
            <w:vAlign w:val="center"/>
          </w:tcPr>
          <w:p w14:paraId="115E9744" w14:textId="77777777" w:rsidR="00A7450A" w:rsidRPr="009D3648" w:rsidRDefault="00A7450A">
            <w:pPr>
              <w:jc w:val="center"/>
              <w:rPr>
                <w:rFonts w:ascii="Calibri" w:hAnsi="Calibri" w:cs="Calibri"/>
                <w:sz w:val="22"/>
                <w:szCs w:val="22"/>
                <w:lang w:val="en-GB"/>
              </w:rPr>
            </w:pPr>
          </w:p>
        </w:tc>
        <w:tc>
          <w:tcPr>
            <w:tcW w:w="1063" w:type="dxa"/>
            <w:shd w:val="clear" w:color="auto" w:fill="1F4E79"/>
            <w:tcMar>
              <w:top w:w="60" w:type="dxa"/>
              <w:left w:w="100" w:type="dxa"/>
              <w:bottom w:w="60" w:type="dxa"/>
              <w:right w:w="100" w:type="dxa"/>
            </w:tcMar>
            <w:vAlign w:val="center"/>
          </w:tcPr>
          <w:p w14:paraId="74DDB67C"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63" w:type="dxa"/>
            <w:shd w:val="clear" w:color="auto" w:fill="1F4E79"/>
            <w:tcMar>
              <w:top w:w="60" w:type="dxa"/>
              <w:left w:w="100" w:type="dxa"/>
              <w:bottom w:w="60" w:type="dxa"/>
              <w:right w:w="100" w:type="dxa"/>
            </w:tcMar>
            <w:vAlign w:val="center"/>
          </w:tcPr>
          <w:p w14:paraId="78AEA862"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1063" w:type="dxa"/>
            <w:shd w:val="clear" w:color="auto" w:fill="1F4E79"/>
            <w:tcMar>
              <w:top w:w="60" w:type="dxa"/>
              <w:left w:w="100" w:type="dxa"/>
              <w:bottom w:w="60" w:type="dxa"/>
              <w:right w:w="100" w:type="dxa"/>
            </w:tcMar>
            <w:vAlign w:val="center"/>
          </w:tcPr>
          <w:p w14:paraId="5F7EA2D3"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63" w:type="dxa"/>
            <w:shd w:val="clear" w:color="auto" w:fill="1F4E79"/>
            <w:tcMar>
              <w:top w:w="60" w:type="dxa"/>
              <w:left w:w="100" w:type="dxa"/>
              <w:bottom w:w="60" w:type="dxa"/>
              <w:right w:w="100" w:type="dxa"/>
            </w:tcMar>
            <w:vAlign w:val="center"/>
          </w:tcPr>
          <w:p w14:paraId="18394FCC"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1063" w:type="dxa"/>
            <w:shd w:val="clear" w:color="auto" w:fill="1F4E79"/>
            <w:tcMar>
              <w:top w:w="60" w:type="dxa"/>
              <w:left w:w="100" w:type="dxa"/>
              <w:bottom w:w="60" w:type="dxa"/>
              <w:right w:w="100" w:type="dxa"/>
            </w:tcMar>
            <w:vAlign w:val="center"/>
          </w:tcPr>
          <w:p w14:paraId="69B70219"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64" w:type="dxa"/>
            <w:shd w:val="clear" w:color="auto" w:fill="1F4E79"/>
            <w:tcMar>
              <w:top w:w="60" w:type="dxa"/>
              <w:left w:w="100" w:type="dxa"/>
              <w:bottom w:w="60" w:type="dxa"/>
              <w:right w:w="100" w:type="dxa"/>
            </w:tcMar>
            <w:vAlign w:val="center"/>
          </w:tcPr>
          <w:p w14:paraId="2CD873BE"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r>
      <w:tr w:rsidR="00C7275F" w:rsidRPr="009D3648" w14:paraId="2C2ECA37"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67731047"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4.26 of Annexes I and II to Delegated Regulation (EU) 2021/2139 in the applicable KPI denominator</w:t>
            </w:r>
          </w:p>
        </w:tc>
        <w:tc>
          <w:tcPr>
            <w:tcW w:w="1063" w:type="dxa"/>
            <w:shd w:val="clear" w:color="auto" w:fill="FFFFFF"/>
            <w:tcMar>
              <w:top w:w="60" w:type="dxa"/>
              <w:left w:w="100" w:type="dxa"/>
              <w:bottom w:w="60" w:type="dxa"/>
              <w:right w:w="100" w:type="dxa"/>
            </w:tcMar>
            <w:vAlign w:val="center"/>
          </w:tcPr>
          <w:p w14:paraId="4444730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63" w:type="dxa"/>
            <w:shd w:val="clear" w:color="auto" w:fill="FFFFFF"/>
            <w:tcMar>
              <w:top w:w="60" w:type="dxa"/>
              <w:left w:w="100" w:type="dxa"/>
              <w:bottom w:w="60" w:type="dxa"/>
              <w:right w:w="100" w:type="dxa"/>
            </w:tcMar>
            <w:vAlign w:val="center"/>
          </w:tcPr>
          <w:p w14:paraId="10FD70F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63" w:type="dxa"/>
            <w:shd w:val="clear" w:color="auto" w:fill="FFFFFF"/>
            <w:tcMar>
              <w:top w:w="60" w:type="dxa"/>
              <w:left w:w="100" w:type="dxa"/>
              <w:bottom w:w="60" w:type="dxa"/>
              <w:right w:w="100" w:type="dxa"/>
            </w:tcMar>
            <w:vAlign w:val="center"/>
          </w:tcPr>
          <w:p w14:paraId="65E4828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63" w:type="dxa"/>
            <w:shd w:val="clear" w:color="auto" w:fill="FFFFFF"/>
            <w:tcMar>
              <w:top w:w="60" w:type="dxa"/>
              <w:left w:w="100" w:type="dxa"/>
              <w:bottom w:w="60" w:type="dxa"/>
              <w:right w:w="100" w:type="dxa"/>
            </w:tcMar>
            <w:vAlign w:val="center"/>
          </w:tcPr>
          <w:p w14:paraId="0A6FA4F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63" w:type="dxa"/>
            <w:shd w:val="clear" w:color="auto" w:fill="FFFFFF"/>
            <w:tcMar>
              <w:top w:w="60" w:type="dxa"/>
              <w:left w:w="100" w:type="dxa"/>
              <w:bottom w:w="60" w:type="dxa"/>
              <w:right w:w="100" w:type="dxa"/>
            </w:tcMar>
            <w:vAlign w:val="center"/>
          </w:tcPr>
          <w:p w14:paraId="7817AB1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64" w:type="dxa"/>
            <w:shd w:val="clear" w:color="auto" w:fill="FFFFFF"/>
            <w:tcMar>
              <w:top w:w="60" w:type="dxa"/>
              <w:left w:w="100" w:type="dxa"/>
              <w:bottom w:w="60" w:type="dxa"/>
              <w:right w:w="100" w:type="dxa"/>
            </w:tcMar>
            <w:vAlign w:val="center"/>
          </w:tcPr>
          <w:p w14:paraId="3F0B364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15333A1F"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1A107A32"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4.27 of Annexes I and II to Delegated Regulation (EU) 2021/2139 in the applicable KPI denominator</w:t>
            </w:r>
          </w:p>
        </w:tc>
        <w:tc>
          <w:tcPr>
            <w:tcW w:w="1063" w:type="dxa"/>
            <w:shd w:val="clear" w:color="auto" w:fill="FFFFFF"/>
            <w:tcMar>
              <w:top w:w="60" w:type="dxa"/>
              <w:left w:w="100" w:type="dxa"/>
              <w:bottom w:w="60" w:type="dxa"/>
              <w:right w:w="100" w:type="dxa"/>
            </w:tcMar>
            <w:vAlign w:val="center"/>
          </w:tcPr>
          <w:p w14:paraId="052C9E5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441,453</w:t>
            </w:r>
          </w:p>
        </w:tc>
        <w:tc>
          <w:tcPr>
            <w:tcW w:w="1063" w:type="dxa"/>
            <w:shd w:val="clear" w:color="auto" w:fill="FFFFFF"/>
            <w:tcMar>
              <w:top w:w="60" w:type="dxa"/>
              <w:left w:w="100" w:type="dxa"/>
              <w:bottom w:w="60" w:type="dxa"/>
              <w:right w:w="100" w:type="dxa"/>
            </w:tcMar>
            <w:vAlign w:val="center"/>
          </w:tcPr>
          <w:p w14:paraId="1BC24E3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63" w:type="dxa"/>
            <w:shd w:val="clear" w:color="auto" w:fill="FFFFFF"/>
            <w:tcMar>
              <w:top w:w="60" w:type="dxa"/>
              <w:left w:w="100" w:type="dxa"/>
              <w:bottom w:w="60" w:type="dxa"/>
              <w:right w:w="100" w:type="dxa"/>
            </w:tcMar>
            <w:vAlign w:val="center"/>
          </w:tcPr>
          <w:p w14:paraId="083F3DB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441,453</w:t>
            </w:r>
          </w:p>
        </w:tc>
        <w:tc>
          <w:tcPr>
            <w:tcW w:w="1063" w:type="dxa"/>
            <w:shd w:val="clear" w:color="auto" w:fill="FFFFFF"/>
            <w:tcMar>
              <w:top w:w="60" w:type="dxa"/>
              <w:left w:w="100" w:type="dxa"/>
              <w:bottom w:w="60" w:type="dxa"/>
              <w:right w:w="100" w:type="dxa"/>
            </w:tcMar>
            <w:vAlign w:val="center"/>
          </w:tcPr>
          <w:p w14:paraId="7D2F75F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63" w:type="dxa"/>
            <w:shd w:val="clear" w:color="auto" w:fill="FFFFFF"/>
            <w:tcMar>
              <w:top w:w="60" w:type="dxa"/>
              <w:left w:w="100" w:type="dxa"/>
              <w:bottom w:w="60" w:type="dxa"/>
              <w:right w:w="100" w:type="dxa"/>
            </w:tcMar>
            <w:vAlign w:val="center"/>
          </w:tcPr>
          <w:p w14:paraId="20CE42F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64" w:type="dxa"/>
            <w:shd w:val="clear" w:color="auto" w:fill="FFFFFF"/>
            <w:tcMar>
              <w:top w:w="60" w:type="dxa"/>
              <w:left w:w="100" w:type="dxa"/>
              <w:bottom w:w="60" w:type="dxa"/>
              <w:right w:w="100" w:type="dxa"/>
            </w:tcMar>
            <w:vAlign w:val="center"/>
          </w:tcPr>
          <w:p w14:paraId="23EB4E9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1A6A3C37"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6949785F"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4.28 of Annexes I and II to Delegated Regulation (EU) 2021/2139 in the applicable KPI denominator</w:t>
            </w:r>
          </w:p>
        </w:tc>
        <w:tc>
          <w:tcPr>
            <w:tcW w:w="1063" w:type="dxa"/>
            <w:shd w:val="clear" w:color="auto" w:fill="FFFFFF"/>
            <w:tcMar>
              <w:top w:w="60" w:type="dxa"/>
              <w:left w:w="100" w:type="dxa"/>
              <w:bottom w:w="60" w:type="dxa"/>
              <w:right w:w="100" w:type="dxa"/>
            </w:tcMar>
            <w:vAlign w:val="center"/>
          </w:tcPr>
          <w:p w14:paraId="429BCEC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35,086,646</w:t>
            </w:r>
          </w:p>
        </w:tc>
        <w:tc>
          <w:tcPr>
            <w:tcW w:w="1063" w:type="dxa"/>
            <w:shd w:val="clear" w:color="auto" w:fill="FFFFFF"/>
            <w:tcMar>
              <w:top w:w="60" w:type="dxa"/>
              <w:left w:w="100" w:type="dxa"/>
              <w:bottom w:w="60" w:type="dxa"/>
              <w:right w:w="100" w:type="dxa"/>
            </w:tcMar>
            <w:vAlign w:val="center"/>
          </w:tcPr>
          <w:p w14:paraId="6E592C5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0.1%</w:t>
            </w:r>
          </w:p>
        </w:tc>
        <w:tc>
          <w:tcPr>
            <w:tcW w:w="1063" w:type="dxa"/>
            <w:shd w:val="clear" w:color="auto" w:fill="FFFFFF"/>
            <w:tcMar>
              <w:top w:w="60" w:type="dxa"/>
              <w:left w:w="100" w:type="dxa"/>
              <w:bottom w:w="60" w:type="dxa"/>
              <w:right w:w="100" w:type="dxa"/>
            </w:tcMar>
            <w:vAlign w:val="center"/>
          </w:tcPr>
          <w:p w14:paraId="6E07FE3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35,086,646</w:t>
            </w:r>
          </w:p>
        </w:tc>
        <w:tc>
          <w:tcPr>
            <w:tcW w:w="1063" w:type="dxa"/>
            <w:shd w:val="clear" w:color="auto" w:fill="FFFFFF"/>
            <w:tcMar>
              <w:top w:w="60" w:type="dxa"/>
              <w:left w:w="100" w:type="dxa"/>
              <w:bottom w:w="60" w:type="dxa"/>
              <w:right w:w="100" w:type="dxa"/>
            </w:tcMar>
            <w:vAlign w:val="center"/>
          </w:tcPr>
          <w:p w14:paraId="43AF9B4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0.1%</w:t>
            </w:r>
          </w:p>
        </w:tc>
        <w:tc>
          <w:tcPr>
            <w:tcW w:w="1063" w:type="dxa"/>
            <w:shd w:val="clear" w:color="auto" w:fill="FFFFFF"/>
            <w:tcMar>
              <w:top w:w="60" w:type="dxa"/>
              <w:left w:w="100" w:type="dxa"/>
              <w:bottom w:w="60" w:type="dxa"/>
              <w:right w:w="100" w:type="dxa"/>
            </w:tcMar>
            <w:vAlign w:val="center"/>
          </w:tcPr>
          <w:p w14:paraId="42E5E2C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64" w:type="dxa"/>
            <w:shd w:val="clear" w:color="auto" w:fill="FFFFFF"/>
            <w:tcMar>
              <w:top w:w="60" w:type="dxa"/>
              <w:left w:w="100" w:type="dxa"/>
              <w:bottom w:w="60" w:type="dxa"/>
              <w:right w:w="100" w:type="dxa"/>
            </w:tcMar>
            <w:vAlign w:val="center"/>
          </w:tcPr>
          <w:p w14:paraId="0839547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007AB05C"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7894BB6E"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4.29 of Annexes I and II to Delegated Regulation (EU) 2021/2139 in the applicable KPI denominator</w:t>
            </w:r>
          </w:p>
        </w:tc>
        <w:tc>
          <w:tcPr>
            <w:tcW w:w="1063" w:type="dxa"/>
            <w:shd w:val="clear" w:color="auto" w:fill="FFFFFF"/>
            <w:tcMar>
              <w:top w:w="60" w:type="dxa"/>
              <w:left w:w="100" w:type="dxa"/>
              <w:bottom w:w="60" w:type="dxa"/>
              <w:right w:w="100" w:type="dxa"/>
            </w:tcMar>
            <w:vAlign w:val="center"/>
          </w:tcPr>
          <w:p w14:paraId="7CE766A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2,218</w:t>
            </w:r>
          </w:p>
        </w:tc>
        <w:tc>
          <w:tcPr>
            <w:tcW w:w="1063" w:type="dxa"/>
            <w:shd w:val="clear" w:color="auto" w:fill="FFFFFF"/>
            <w:tcMar>
              <w:top w:w="60" w:type="dxa"/>
              <w:left w:w="100" w:type="dxa"/>
              <w:bottom w:w="60" w:type="dxa"/>
              <w:right w:w="100" w:type="dxa"/>
            </w:tcMar>
            <w:vAlign w:val="center"/>
          </w:tcPr>
          <w:p w14:paraId="545A83C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63" w:type="dxa"/>
            <w:shd w:val="clear" w:color="auto" w:fill="FFFFFF"/>
            <w:tcMar>
              <w:top w:w="60" w:type="dxa"/>
              <w:left w:w="100" w:type="dxa"/>
              <w:bottom w:w="60" w:type="dxa"/>
              <w:right w:w="100" w:type="dxa"/>
            </w:tcMar>
            <w:vAlign w:val="center"/>
          </w:tcPr>
          <w:p w14:paraId="2F7DC15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2,218</w:t>
            </w:r>
          </w:p>
        </w:tc>
        <w:tc>
          <w:tcPr>
            <w:tcW w:w="1063" w:type="dxa"/>
            <w:shd w:val="clear" w:color="auto" w:fill="FFFFFF"/>
            <w:tcMar>
              <w:top w:w="60" w:type="dxa"/>
              <w:left w:w="100" w:type="dxa"/>
              <w:bottom w:w="60" w:type="dxa"/>
              <w:right w:w="100" w:type="dxa"/>
            </w:tcMar>
            <w:vAlign w:val="center"/>
          </w:tcPr>
          <w:p w14:paraId="066FA10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63" w:type="dxa"/>
            <w:shd w:val="clear" w:color="auto" w:fill="FFFFFF"/>
            <w:tcMar>
              <w:top w:w="60" w:type="dxa"/>
              <w:left w:w="100" w:type="dxa"/>
              <w:bottom w:w="60" w:type="dxa"/>
              <w:right w:w="100" w:type="dxa"/>
            </w:tcMar>
            <w:vAlign w:val="center"/>
          </w:tcPr>
          <w:p w14:paraId="0380F1F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64" w:type="dxa"/>
            <w:shd w:val="clear" w:color="auto" w:fill="FFFFFF"/>
            <w:tcMar>
              <w:top w:w="60" w:type="dxa"/>
              <w:left w:w="100" w:type="dxa"/>
              <w:bottom w:w="60" w:type="dxa"/>
              <w:right w:w="100" w:type="dxa"/>
            </w:tcMar>
            <w:vAlign w:val="center"/>
          </w:tcPr>
          <w:p w14:paraId="04CE7C1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1CBF9D20"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7DCC6986"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4.30 of Annexes I and II to Delegated Regulation (EU) 2021/2139 in the applicable KPI denominator</w:t>
            </w:r>
          </w:p>
        </w:tc>
        <w:tc>
          <w:tcPr>
            <w:tcW w:w="1063" w:type="dxa"/>
            <w:shd w:val="clear" w:color="auto" w:fill="FFFFFF"/>
            <w:tcMar>
              <w:top w:w="60" w:type="dxa"/>
              <w:left w:w="100" w:type="dxa"/>
              <w:bottom w:w="60" w:type="dxa"/>
              <w:right w:w="100" w:type="dxa"/>
            </w:tcMar>
            <w:vAlign w:val="center"/>
          </w:tcPr>
          <w:p w14:paraId="25F92B0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3,984,915</w:t>
            </w:r>
          </w:p>
        </w:tc>
        <w:tc>
          <w:tcPr>
            <w:tcW w:w="1063" w:type="dxa"/>
            <w:shd w:val="clear" w:color="auto" w:fill="FFFFFF"/>
            <w:tcMar>
              <w:top w:w="60" w:type="dxa"/>
              <w:left w:w="100" w:type="dxa"/>
              <w:bottom w:w="60" w:type="dxa"/>
              <w:right w:w="100" w:type="dxa"/>
            </w:tcMar>
            <w:vAlign w:val="center"/>
          </w:tcPr>
          <w:p w14:paraId="62F549F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0.1%</w:t>
            </w:r>
          </w:p>
        </w:tc>
        <w:tc>
          <w:tcPr>
            <w:tcW w:w="1063" w:type="dxa"/>
            <w:shd w:val="clear" w:color="auto" w:fill="FFFFFF"/>
            <w:tcMar>
              <w:top w:w="60" w:type="dxa"/>
              <w:left w:w="100" w:type="dxa"/>
              <w:bottom w:w="60" w:type="dxa"/>
              <w:right w:w="100" w:type="dxa"/>
            </w:tcMar>
            <w:vAlign w:val="center"/>
          </w:tcPr>
          <w:p w14:paraId="77247EE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3,984,915</w:t>
            </w:r>
          </w:p>
        </w:tc>
        <w:tc>
          <w:tcPr>
            <w:tcW w:w="1063" w:type="dxa"/>
            <w:shd w:val="clear" w:color="auto" w:fill="FFFFFF"/>
            <w:tcMar>
              <w:top w:w="60" w:type="dxa"/>
              <w:left w:w="100" w:type="dxa"/>
              <w:bottom w:w="60" w:type="dxa"/>
              <w:right w:w="100" w:type="dxa"/>
            </w:tcMar>
            <w:vAlign w:val="center"/>
          </w:tcPr>
          <w:p w14:paraId="4E2601E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0.1%</w:t>
            </w:r>
          </w:p>
        </w:tc>
        <w:tc>
          <w:tcPr>
            <w:tcW w:w="1063" w:type="dxa"/>
            <w:shd w:val="clear" w:color="auto" w:fill="FFFFFF"/>
            <w:tcMar>
              <w:top w:w="60" w:type="dxa"/>
              <w:left w:w="100" w:type="dxa"/>
              <w:bottom w:w="60" w:type="dxa"/>
              <w:right w:w="100" w:type="dxa"/>
            </w:tcMar>
            <w:vAlign w:val="center"/>
          </w:tcPr>
          <w:p w14:paraId="23247AA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64" w:type="dxa"/>
            <w:shd w:val="clear" w:color="auto" w:fill="FFFFFF"/>
            <w:tcMar>
              <w:top w:w="60" w:type="dxa"/>
              <w:left w:w="100" w:type="dxa"/>
              <w:bottom w:w="60" w:type="dxa"/>
              <w:right w:w="100" w:type="dxa"/>
            </w:tcMar>
            <w:vAlign w:val="center"/>
          </w:tcPr>
          <w:p w14:paraId="498209D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18F3BAFD"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7DFB9450"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4.31 of Annexes I and II to Delegated Regulation (EU) 2021/2139 in the applicable KPI denominator</w:t>
            </w:r>
          </w:p>
        </w:tc>
        <w:tc>
          <w:tcPr>
            <w:tcW w:w="1063" w:type="dxa"/>
            <w:shd w:val="clear" w:color="auto" w:fill="FFFFFF"/>
            <w:tcMar>
              <w:top w:w="60" w:type="dxa"/>
              <w:left w:w="100" w:type="dxa"/>
              <w:bottom w:w="60" w:type="dxa"/>
              <w:right w:w="100" w:type="dxa"/>
            </w:tcMar>
            <w:vAlign w:val="center"/>
          </w:tcPr>
          <w:p w14:paraId="3775AA0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1,377,425</w:t>
            </w:r>
          </w:p>
        </w:tc>
        <w:tc>
          <w:tcPr>
            <w:tcW w:w="1063" w:type="dxa"/>
            <w:shd w:val="clear" w:color="auto" w:fill="FFFFFF"/>
            <w:tcMar>
              <w:top w:w="60" w:type="dxa"/>
              <w:left w:w="100" w:type="dxa"/>
              <w:bottom w:w="60" w:type="dxa"/>
              <w:right w:w="100" w:type="dxa"/>
            </w:tcMar>
            <w:vAlign w:val="center"/>
          </w:tcPr>
          <w:p w14:paraId="3809078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63" w:type="dxa"/>
            <w:shd w:val="clear" w:color="auto" w:fill="FFFFFF"/>
            <w:tcMar>
              <w:top w:w="60" w:type="dxa"/>
              <w:left w:w="100" w:type="dxa"/>
              <w:bottom w:w="60" w:type="dxa"/>
              <w:right w:w="100" w:type="dxa"/>
            </w:tcMar>
            <w:vAlign w:val="center"/>
          </w:tcPr>
          <w:p w14:paraId="4D73250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1,377,425</w:t>
            </w:r>
          </w:p>
        </w:tc>
        <w:tc>
          <w:tcPr>
            <w:tcW w:w="1063" w:type="dxa"/>
            <w:shd w:val="clear" w:color="auto" w:fill="FFFFFF"/>
            <w:tcMar>
              <w:top w:w="60" w:type="dxa"/>
              <w:left w:w="100" w:type="dxa"/>
              <w:bottom w:w="60" w:type="dxa"/>
              <w:right w:w="100" w:type="dxa"/>
            </w:tcMar>
            <w:vAlign w:val="center"/>
          </w:tcPr>
          <w:p w14:paraId="55606CF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63" w:type="dxa"/>
            <w:shd w:val="clear" w:color="auto" w:fill="FFFFFF"/>
            <w:tcMar>
              <w:top w:w="60" w:type="dxa"/>
              <w:left w:w="100" w:type="dxa"/>
              <w:bottom w:w="60" w:type="dxa"/>
              <w:right w:w="100" w:type="dxa"/>
            </w:tcMar>
            <w:vAlign w:val="center"/>
          </w:tcPr>
          <w:p w14:paraId="6F40F70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64" w:type="dxa"/>
            <w:shd w:val="clear" w:color="auto" w:fill="FFFFFF"/>
            <w:tcMar>
              <w:top w:w="60" w:type="dxa"/>
              <w:left w:w="100" w:type="dxa"/>
              <w:bottom w:w="60" w:type="dxa"/>
              <w:right w:w="100" w:type="dxa"/>
            </w:tcMar>
            <w:vAlign w:val="center"/>
          </w:tcPr>
          <w:p w14:paraId="2A51A35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5731FBB0"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59593DD9"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Amount and proportion of other Taxonomy-aligned economic activities not referred to in rows 1 to 6 above in the applicable KPI denominator</w:t>
            </w:r>
          </w:p>
        </w:tc>
        <w:tc>
          <w:tcPr>
            <w:tcW w:w="1063" w:type="dxa"/>
            <w:shd w:val="clear" w:color="auto" w:fill="FFFFFF"/>
            <w:tcMar>
              <w:top w:w="60" w:type="dxa"/>
              <w:left w:w="100" w:type="dxa"/>
              <w:bottom w:w="60" w:type="dxa"/>
              <w:right w:w="100" w:type="dxa"/>
            </w:tcMar>
            <w:vAlign w:val="center"/>
          </w:tcPr>
          <w:p w14:paraId="4FA681A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2,792,327,631</w:t>
            </w:r>
          </w:p>
        </w:tc>
        <w:tc>
          <w:tcPr>
            <w:tcW w:w="1063" w:type="dxa"/>
            <w:shd w:val="clear" w:color="auto" w:fill="FFFFFF"/>
            <w:tcMar>
              <w:top w:w="60" w:type="dxa"/>
              <w:left w:w="100" w:type="dxa"/>
              <w:bottom w:w="60" w:type="dxa"/>
              <w:right w:w="100" w:type="dxa"/>
            </w:tcMar>
            <w:vAlign w:val="center"/>
          </w:tcPr>
          <w:p w14:paraId="41C9AD81"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4.4%</w:t>
            </w:r>
          </w:p>
        </w:tc>
        <w:tc>
          <w:tcPr>
            <w:tcW w:w="1063" w:type="dxa"/>
            <w:shd w:val="clear" w:color="auto" w:fill="FFFFFF"/>
            <w:tcMar>
              <w:top w:w="60" w:type="dxa"/>
              <w:left w:w="100" w:type="dxa"/>
              <w:bottom w:w="60" w:type="dxa"/>
              <w:right w:w="100" w:type="dxa"/>
            </w:tcMar>
            <w:vAlign w:val="center"/>
          </w:tcPr>
          <w:p w14:paraId="7111F7AA"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2,765,564,576</w:t>
            </w:r>
          </w:p>
        </w:tc>
        <w:tc>
          <w:tcPr>
            <w:tcW w:w="1063" w:type="dxa"/>
            <w:shd w:val="clear" w:color="auto" w:fill="FFFFFF"/>
            <w:tcMar>
              <w:top w:w="60" w:type="dxa"/>
              <w:left w:w="100" w:type="dxa"/>
              <w:bottom w:w="60" w:type="dxa"/>
              <w:right w:w="100" w:type="dxa"/>
            </w:tcMar>
            <w:vAlign w:val="center"/>
          </w:tcPr>
          <w:p w14:paraId="595731B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4.3%</w:t>
            </w:r>
          </w:p>
        </w:tc>
        <w:tc>
          <w:tcPr>
            <w:tcW w:w="1063" w:type="dxa"/>
            <w:shd w:val="clear" w:color="auto" w:fill="FFFFFF"/>
            <w:tcMar>
              <w:top w:w="60" w:type="dxa"/>
              <w:left w:w="100" w:type="dxa"/>
              <w:bottom w:w="60" w:type="dxa"/>
              <w:right w:w="100" w:type="dxa"/>
            </w:tcMar>
            <w:vAlign w:val="center"/>
          </w:tcPr>
          <w:p w14:paraId="011BF89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26,763,055</w:t>
            </w:r>
          </w:p>
        </w:tc>
        <w:tc>
          <w:tcPr>
            <w:tcW w:w="1064" w:type="dxa"/>
            <w:shd w:val="clear" w:color="auto" w:fill="FFFFFF"/>
            <w:tcMar>
              <w:top w:w="60" w:type="dxa"/>
              <w:left w:w="100" w:type="dxa"/>
              <w:bottom w:w="60" w:type="dxa"/>
              <w:right w:w="100" w:type="dxa"/>
            </w:tcMar>
            <w:vAlign w:val="center"/>
          </w:tcPr>
          <w:p w14:paraId="291CF6BA"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0.0%</w:t>
            </w:r>
          </w:p>
        </w:tc>
      </w:tr>
      <w:tr w:rsidR="00C7275F" w:rsidRPr="009D3648" w14:paraId="37859B40"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3391642B"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applicable KPI</w:t>
            </w:r>
          </w:p>
        </w:tc>
        <w:tc>
          <w:tcPr>
            <w:tcW w:w="1063" w:type="dxa"/>
            <w:shd w:val="clear" w:color="auto" w:fill="FFFFFF"/>
            <w:tcMar>
              <w:top w:w="60" w:type="dxa"/>
              <w:left w:w="100" w:type="dxa"/>
              <w:bottom w:w="60" w:type="dxa"/>
              <w:right w:w="100" w:type="dxa"/>
            </w:tcMar>
            <w:vAlign w:val="center"/>
          </w:tcPr>
          <w:p w14:paraId="6BBCA3E1"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64,079,585,615</w:t>
            </w:r>
          </w:p>
        </w:tc>
        <w:tc>
          <w:tcPr>
            <w:tcW w:w="1063" w:type="dxa"/>
            <w:shd w:val="clear" w:color="auto" w:fill="FFFFFF"/>
            <w:tcMar>
              <w:top w:w="60" w:type="dxa"/>
              <w:left w:w="100" w:type="dxa"/>
              <w:bottom w:w="60" w:type="dxa"/>
              <w:right w:w="100" w:type="dxa"/>
            </w:tcMar>
            <w:vAlign w:val="center"/>
          </w:tcPr>
          <w:p w14:paraId="3EE7DBE9"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1063" w:type="dxa"/>
            <w:shd w:val="clear" w:color="auto" w:fill="FFFFFF"/>
            <w:tcMar>
              <w:top w:w="60" w:type="dxa"/>
              <w:left w:w="100" w:type="dxa"/>
              <w:bottom w:w="60" w:type="dxa"/>
              <w:right w:w="100" w:type="dxa"/>
            </w:tcMar>
            <w:vAlign w:val="center"/>
          </w:tcPr>
          <w:p w14:paraId="5FEC4625"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64,079,585,615</w:t>
            </w:r>
          </w:p>
        </w:tc>
        <w:tc>
          <w:tcPr>
            <w:tcW w:w="1063" w:type="dxa"/>
            <w:shd w:val="clear" w:color="auto" w:fill="FFFFFF"/>
            <w:tcMar>
              <w:top w:w="60" w:type="dxa"/>
              <w:left w:w="100" w:type="dxa"/>
              <w:bottom w:w="60" w:type="dxa"/>
              <w:right w:w="100" w:type="dxa"/>
            </w:tcMar>
            <w:vAlign w:val="center"/>
          </w:tcPr>
          <w:p w14:paraId="064BE4B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1063" w:type="dxa"/>
            <w:shd w:val="clear" w:color="auto" w:fill="FFFFFF"/>
            <w:tcMar>
              <w:top w:w="60" w:type="dxa"/>
              <w:left w:w="100" w:type="dxa"/>
              <w:bottom w:w="60" w:type="dxa"/>
              <w:right w:w="100" w:type="dxa"/>
            </w:tcMar>
            <w:vAlign w:val="center"/>
          </w:tcPr>
          <w:p w14:paraId="289304B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64,079,585,615</w:t>
            </w:r>
          </w:p>
        </w:tc>
        <w:tc>
          <w:tcPr>
            <w:tcW w:w="1064" w:type="dxa"/>
            <w:shd w:val="clear" w:color="auto" w:fill="FFFFFF"/>
            <w:tcMar>
              <w:top w:w="60" w:type="dxa"/>
              <w:left w:w="100" w:type="dxa"/>
              <w:bottom w:w="60" w:type="dxa"/>
              <w:right w:w="100" w:type="dxa"/>
            </w:tcMar>
            <w:vAlign w:val="center"/>
          </w:tcPr>
          <w:p w14:paraId="2B27F8E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r>
    </w:tbl>
    <w:p w14:paraId="1BA1C975" w14:textId="77777777" w:rsidR="00C7275F" w:rsidRPr="009D3648" w:rsidRDefault="00C7275F">
      <w:pPr>
        <w:rPr>
          <w:rFonts w:ascii="Calibri" w:hAnsi="Calibri" w:cs="Calibri"/>
          <w:sz w:val="22"/>
          <w:szCs w:val="22"/>
          <w:lang w:val="en-GB"/>
        </w:rPr>
      </w:pPr>
    </w:p>
    <w:p w14:paraId="28BA53DD" w14:textId="2A0B595E" w:rsidR="00C7275F" w:rsidRPr="009D3648" w:rsidRDefault="00C7275F">
      <w:pPr>
        <w:spacing w:before="120" w:after="60"/>
        <w:rPr>
          <w:rFonts w:ascii="Calibri" w:hAnsi="Calibri" w:cs="Calibri"/>
          <w:sz w:val="22"/>
          <w:szCs w:val="22"/>
          <w:lang w:val="en-GB"/>
        </w:rPr>
      </w:pPr>
    </w:p>
    <w:tbl>
      <w:tblPr>
        <w:tblW w:w="106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0" w:type="dxa"/>
          <w:right w:w="10" w:type="dxa"/>
        </w:tblCellMar>
        <w:tblLook w:val="04A0" w:firstRow="1" w:lastRow="0" w:firstColumn="1" w:lastColumn="0" w:noHBand="0" w:noVBand="1"/>
      </w:tblPr>
      <w:tblGrid>
        <w:gridCol w:w="4106"/>
        <w:gridCol w:w="1086"/>
        <w:gridCol w:w="1087"/>
        <w:gridCol w:w="1087"/>
        <w:gridCol w:w="1087"/>
        <w:gridCol w:w="1087"/>
        <w:gridCol w:w="1087"/>
      </w:tblGrid>
      <w:tr w:rsidR="00A7450A" w:rsidRPr="009D3648" w14:paraId="36948B9A" w14:textId="77777777" w:rsidTr="00A7450A">
        <w:tblPrEx>
          <w:tblCellMar>
            <w:top w:w="0" w:type="dxa"/>
            <w:bottom w:w="0" w:type="dxa"/>
          </w:tblCellMar>
        </w:tblPrEx>
        <w:tc>
          <w:tcPr>
            <w:tcW w:w="4106" w:type="dxa"/>
            <w:vMerge w:val="restart"/>
            <w:shd w:val="clear" w:color="auto" w:fill="1F4E79"/>
            <w:tcMar>
              <w:top w:w="60" w:type="dxa"/>
              <w:left w:w="100" w:type="dxa"/>
              <w:bottom w:w="60" w:type="dxa"/>
              <w:right w:w="100" w:type="dxa"/>
            </w:tcMar>
            <w:vAlign w:val="center"/>
          </w:tcPr>
          <w:p w14:paraId="0F300E45"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Economic activities</w:t>
            </w:r>
          </w:p>
        </w:tc>
        <w:tc>
          <w:tcPr>
            <w:tcW w:w="6521" w:type="dxa"/>
            <w:gridSpan w:val="6"/>
            <w:shd w:val="clear" w:color="auto" w:fill="1F4E79"/>
            <w:tcMar>
              <w:top w:w="60" w:type="dxa"/>
              <w:left w:w="100" w:type="dxa"/>
              <w:bottom w:w="60" w:type="dxa"/>
              <w:right w:w="100" w:type="dxa"/>
            </w:tcMar>
            <w:vAlign w:val="center"/>
          </w:tcPr>
          <w:p w14:paraId="41A01D65"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CAPEX 2025</w:t>
            </w:r>
          </w:p>
        </w:tc>
      </w:tr>
      <w:tr w:rsidR="00A7450A" w:rsidRPr="009D3648" w14:paraId="69A377D4" w14:textId="77777777" w:rsidTr="00A7450A">
        <w:tblPrEx>
          <w:tblCellMar>
            <w:top w:w="0" w:type="dxa"/>
            <w:bottom w:w="0" w:type="dxa"/>
          </w:tblCellMar>
        </w:tblPrEx>
        <w:tc>
          <w:tcPr>
            <w:tcW w:w="4106" w:type="dxa"/>
            <w:vMerge/>
            <w:shd w:val="clear" w:color="auto" w:fill="1F4E79"/>
            <w:tcMar>
              <w:top w:w="60" w:type="dxa"/>
              <w:left w:w="100" w:type="dxa"/>
              <w:bottom w:w="60" w:type="dxa"/>
              <w:right w:w="100" w:type="dxa"/>
            </w:tcMar>
            <w:vAlign w:val="center"/>
          </w:tcPr>
          <w:p w14:paraId="7BBC5999" w14:textId="77777777" w:rsidR="00A7450A" w:rsidRPr="009D3648" w:rsidRDefault="00A7450A">
            <w:pPr>
              <w:jc w:val="center"/>
              <w:rPr>
                <w:rFonts w:ascii="Calibri" w:hAnsi="Calibri" w:cs="Calibri"/>
                <w:sz w:val="22"/>
                <w:szCs w:val="22"/>
                <w:lang w:val="en-GB"/>
              </w:rPr>
            </w:pPr>
          </w:p>
        </w:tc>
        <w:tc>
          <w:tcPr>
            <w:tcW w:w="6521" w:type="dxa"/>
            <w:gridSpan w:val="6"/>
            <w:shd w:val="clear" w:color="auto" w:fill="1F4E79"/>
            <w:tcMar>
              <w:top w:w="60" w:type="dxa"/>
              <w:left w:w="100" w:type="dxa"/>
              <w:bottom w:w="60" w:type="dxa"/>
              <w:right w:w="100" w:type="dxa"/>
            </w:tcMar>
            <w:vAlign w:val="center"/>
          </w:tcPr>
          <w:p w14:paraId="03C64DCE"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 and proportion (information to be presented in monetary amount and percentage)</w:t>
            </w:r>
          </w:p>
        </w:tc>
      </w:tr>
      <w:tr w:rsidR="00A7450A" w:rsidRPr="009D3648" w14:paraId="3C96BA65" w14:textId="77777777" w:rsidTr="00A7450A">
        <w:tblPrEx>
          <w:tblCellMar>
            <w:top w:w="0" w:type="dxa"/>
            <w:bottom w:w="0" w:type="dxa"/>
          </w:tblCellMar>
        </w:tblPrEx>
        <w:tc>
          <w:tcPr>
            <w:tcW w:w="4106" w:type="dxa"/>
            <w:vMerge/>
            <w:shd w:val="clear" w:color="auto" w:fill="1F4E79"/>
            <w:tcMar>
              <w:top w:w="60" w:type="dxa"/>
              <w:left w:w="100" w:type="dxa"/>
              <w:bottom w:w="60" w:type="dxa"/>
              <w:right w:w="100" w:type="dxa"/>
            </w:tcMar>
            <w:vAlign w:val="center"/>
          </w:tcPr>
          <w:p w14:paraId="3F38EF5C" w14:textId="77777777" w:rsidR="00A7450A" w:rsidRPr="009D3648" w:rsidRDefault="00A7450A">
            <w:pPr>
              <w:jc w:val="center"/>
              <w:rPr>
                <w:rFonts w:ascii="Calibri" w:hAnsi="Calibri" w:cs="Calibri"/>
                <w:sz w:val="22"/>
                <w:szCs w:val="22"/>
                <w:lang w:val="en-GB"/>
              </w:rPr>
            </w:pPr>
          </w:p>
        </w:tc>
        <w:tc>
          <w:tcPr>
            <w:tcW w:w="2173" w:type="dxa"/>
            <w:gridSpan w:val="2"/>
            <w:shd w:val="clear" w:color="auto" w:fill="1F4E79"/>
            <w:tcMar>
              <w:top w:w="60" w:type="dxa"/>
              <w:left w:w="100" w:type="dxa"/>
              <w:bottom w:w="60" w:type="dxa"/>
              <w:right w:w="100" w:type="dxa"/>
            </w:tcMar>
            <w:vAlign w:val="center"/>
          </w:tcPr>
          <w:p w14:paraId="0643731E"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CCM + CCA</w:t>
            </w:r>
          </w:p>
        </w:tc>
        <w:tc>
          <w:tcPr>
            <w:tcW w:w="2174" w:type="dxa"/>
            <w:gridSpan w:val="2"/>
            <w:shd w:val="clear" w:color="auto" w:fill="1F4E79"/>
            <w:tcMar>
              <w:top w:w="60" w:type="dxa"/>
              <w:left w:w="100" w:type="dxa"/>
              <w:bottom w:w="60" w:type="dxa"/>
              <w:right w:w="100" w:type="dxa"/>
            </w:tcMar>
            <w:vAlign w:val="center"/>
          </w:tcPr>
          <w:p w14:paraId="64A3FF71"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mitigation (CCM)</w:t>
            </w:r>
          </w:p>
        </w:tc>
        <w:tc>
          <w:tcPr>
            <w:tcW w:w="2174" w:type="dxa"/>
            <w:gridSpan w:val="2"/>
            <w:shd w:val="clear" w:color="auto" w:fill="1F4E79"/>
            <w:tcMar>
              <w:top w:w="60" w:type="dxa"/>
              <w:left w:w="100" w:type="dxa"/>
              <w:bottom w:w="60" w:type="dxa"/>
              <w:right w:w="100" w:type="dxa"/>
            </w:tcMar>
            <w:vAlign w:val="center"/>
          </w:tcPr>
          <w:p w14:paraId="028B7F13"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adaptation (CCA)</w:t>
            </w:r>
          </w:p>
        </w:tc>
      </w:tr>
      <w:tr w:rsidR="00A7450A" w:rsidRPr="009D3648" w14:paraId="3268F8ED" w14:textId="77777777" w:rsidTr="00A7450A">
        <w:tblPrEx>
          <w:tblCellMar>
            <w:top w:w="0" w:type="dxa"/>
            <w:bottom w:w="0" w:type="dxa"/>
          </w:tblCellMar>
        </w:tblPrEx>
        <w:tc>
          <w:tcPr>
            <w:tcW w:w="4106" w:type="dxa"/>
            <w:vMerge/>
            <w:shd w:val="clear" w:color="auto" w:fill="1F4E79"/>
            <w:tcMar>
              <w:top w:w="60" w:type="dxa"/>
              <w:left w:w="100" w:type="dxa"/>
              <w:bottom w:w="60" w:type="dxa"/>
              <w:right w:w="100" w:type="dxa"/>
            </w:tcMar>
            <w:vAlign w:val="center"/>
          </w:tcPr>
          <w:p w14:paraId="7D797AE6" w14:textId="77777777" w:rsidR="00A7450A" w:rsidRPr="009D3648" w:rsidRDefault="00A7450A">
            <w:pPr>
              <w:jc w:val="center"/>
              <w:rPr>
                <w:rFonts w:ascii="Calibri" w:hAnsi="Calibri" w:cs="Calibri"/>
                <w:sz w:val="22"/>
                <w:szCs w:val="22"/>
                <w:lang w:val="en-GB"/>
              </w:rPr>
            </w:pPr>
          </w:p>
        </w:tc>
        <w:tc>
          <w:tcPr>
            <w:tcW w:w="1086" w:type="dxa"/>
            <w:shd w:val="clear" w:color="auto" w:fill="1F4E79"/>
            <w:tcMar>
              <w:top w:w="60" w:type="dxa"/>
              <w:left w:w="100" w:type="dxa"/>
              <w:bottom w:w="60" w:type="dxa"/>
              <w:right w:w="100" w:type="dxa"/>
            </w:tcMar>
            <w:vAlign w:val="center"/>
          </w:tcPr>
          <w:p w14:paraId="386CC1F7"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7" w:type="dxa"/>
            <w:shd w:val="clear" w:color="auto" w:fill="1F4E79"/>
            <w:tcMar>
              <w:top w:w="60" w:type="dxa"/>
              <w:left w:w="100" w:type="dxa"/>
              <w:bottom w:w="60" w:type="dxa"/>
              <w:right w:w="100" w:type="dxa"/>
            </w:tcMar>
            <w:vAlign w:val="center"/>
          </w:tcPr>
          <w:p w14:paraId="3F59F6AC"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1087" w:type="dxa"/>
            <w:shd w:val="clear" w:color="auto" w:fill="1F4E79"/>
            <w:tcMar>
              <w:top w:w="60" w:type="dxa"/>
              <w:left w:w="100" w:type="dxa"/>
              <w:bottom w:w="60" w:type="dxa"/>
              <w:right w:w="100" w:type="dxa"/>
            </w:tcMar>
            <w:vAlign w:val="center"/>
          </w:tcPr>
          <w:p w14:paraId="79590B6F"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7" w:type="dxa"/>
            <w:shd w:val="clear" w:color="auto" w:fill="1F4E79"/>
            <w:tcMar>
              <w:top w:w="60" w:type="dxa"/>
              <w:left w:w="100" w:type="dxa"/>
              <w:bottom w:w="60" w:type="dxa"/>
              <w:right w:w="100" w:type="dxa"/>
            </w:tcMar>
            <w:vAlign w:val="center"/>
          </w:tcPr>
          <w:p w14:paraId="68189131"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1087" w:type="dxa"/>
            <w:shd w:val="clear" w:color="auto" w:fill="1F4E79"/>
            <w:tcMar>
              <w:top w:w="60" w:type="dxa"/>
              <w:left w:w="100" w:type="dxa"/>
              <w:bottom w:w="60" w:type="dxa"/>
              <w:right w:w="100" w:type="dxa"/>
            </w:tcMar>
            <w:vAlign w:val="center"/>
          </w:tcPr>
          <w:p w14:paraId="1186E5FC"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7" w:type="dxa"/>
            <w:shd w:val="clear" w:color="auto" w:fill="1F4E79"/>
            <w:tcMar>
              <w:top w:w="60" w:type="dxa"/>
              <w:left w:w="100" w:type="dxa"/>
              <w:bottom w:w="60" w:type="dxa"/>
              <w:right w:w="100" w:type="dxa"/>
            </w:tcMar>
            <w:vAlign w:val="center"/>
          </w:tcPr>
          <w:p w14:paraId="7F31BE93"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r>
      <w:tr w:rsidR="00C7275F" w:rsidRPr="009D3648" w14:paraId="3349F85E"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002268C1"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4.26 of Annexes I and II to Delegated Regulation (EU) 2021/2139 in the applicable KPI denominator</w:t>
            </w:r>
          </w:p>
        </w:tc>
        <w:tc>
          <w:tcPr>
            <w:tcW w:w="1086" w:type="dxa"/>
            <w:shd w:val="clear" w:color="auto" w:fill="FFFFFF"/>
            <w:tcMar>
              <w:top w:w="60" w:type="dxa"/>
              <w:left w:w="100" w:type="dxa"/>
              <w:bottom w:w="60" w:type="dxa"/>
              <w:right w:w="100" w:type="dxa"/>
            </w:tcMar>
            <w:vAlign w:val="center"/>
          </w:tcPr>
          <w:p w14:paraId="4319609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shd w:val="clear" w:color="auto" w:fill="FFFFFF"/>
            <w:tcMar>
              <w:top w:w="60" w:type="dxa"/>
              <w:left w:w="100" w:type="dxa"/>
              <w:bottom w:w="60" w:type="dxa"/>
              <w:right w:w="100" w:type="dxa"/>
            </w:tcMar>
            <w:vAlign w:val="center"/>
          </w:tcPr>
          <w:p w14:paraId="3F9C898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7355F3F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shd w:val="clear" w:color="auto" w:fill="FFFFFF"/>
            <w:tcMar>
              <w:top w:w="60" w:type="dxa"/>
              <w:left w:w="100" w:type="dxa"/>
              <w:bottom w:w="60" w:type="dxa"/>
              <w:right w:w="100" w:type="dxa"/>
            </w:tcMar>
            <w:vAlign w:val="center"/>
          </w:tcPr>
          <w:p w14:paraId="437DFDD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5380CFB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shd w:val="clear" w:color="auto" w:fill="FFFFFF"/>
            <w:tcMar>
              <w:top w:w="60" w:type="dxa"/>
              <w:left w:w="100" w:type="dxa"/>
              <w:bottom w:w="60" w:type="dxa"/>
              <w:right w:w="100" w:type="dxa"/>
            </w:tcMar>
            <w:vAlign w:val="center"/>
          </w:tcPr>
          <w:p w14:paraId="0FAE784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76A85789"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37C9F22F"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4.27 of Annexes I and II to Delegated Regulation (EU) 2021/2139 in the applicable KPI denominator</w:t>
            </w:r>
          </w:p>
        </w:tc>
        <w:tc>
          <w:tcPr>
            <w:tcW w:w="1086" w:type="dxa"/>
            <w:shd w:val="clear" w:color="auto" w:fill="FFFFFF"/>
            <w:tcMar>
              <w:top w:w="60" w:type="dxa"/>
              <w:left w:w="100" w:type="dxa"/>
              <w:bottom w:w="60" w:type="dxa"/>
              <w:right w:w="100" w:type="dxa"/>
            </w:tcMar>
            <w:vAlign w:val="center"/>
          </w:tcPr>
          <w:p w14:paraId="595CCC3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6,851,715</w:t>
            </w:r>
          </w:p>
        </w:tc>
        <w:tc>
          <w:tcPr>
            <w:tcW w:w="1087" w:type="dxa"/>
            <w:shd w:val="clear" w:color="auto" w:fill="FFFFFF"/>
            <w:tcMar>
              <w:top w:w="60" w:type="dxa"/>
              <w:left w:w="100" w:type="dxa"/>
              <w:bottom w:w="60" w:type="dxa"/>
              <w:right w:w="100" w:type="dxa"/>
            </w:tcMar>
            <w:vAlign w:val="center"/>
          </w:tcPr>
          <w:p w14:paraId="58133D5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7524E08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6,851,715</w:t>
            </w:r>
          </w:p>
        </w:tc>
        <w:tc>
          <w:tcPr>
            <w:tcW w:w="1087" w:type="dxa"/>
            <w:shd w:val="clear" w:color="auto" w:fill="FFFFFF"/>
            <w:tcMar>
              <w:top w:w="60" w:type="dxa"/>
              <w:left w:w="100" w:type="dxa"/>
              <w:bottom w:w="60" w:type="dxa"/>
              <w:right w:w="100" w:type="dxa"/>
            </w:tcMar>
            <w:vAlign w:val="center"/>
          </w:tcPr>
          <w:p w14:paraId="22C6CED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3FFB187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shd w:val="clear" w:color="auto" w:fill="FFFFFF"/>
            <w:tcMar>
              <w:top w:w="60" w:type="dxa"/>
              <w:left w:w="100" w:type="dxa"/>
              <w:bottom w:w="60" w:type="dxa"/>
              <w:right w:w="100" w:type="dxa"/>
            </w:tcMar>
            <w:vAlign w:val="center"/>
          </w:tcPr>
          <w:p w14:paraId="1EE5F30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56231C0E"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33330B5F"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4.28 of Annexes I and II to Delegated Regulation (EU) 2021/2139 in the applicable KPI denominator</w:t>
            </w:r>
          </w:p>
        </w:tc>
        <w:tc>
          <w:tcPr>
            <w:tcW w:w="1086" w:type="dxa"/>
            <w:shd w:val="clear" w:color="auto" w:fill="FFFFFF"/>
            <w:tcMar>
              <w:top w:w="60" w:type="dxa"/>
              <w:left w:w="100" w:type="dxa"/>
              <w:bottom w:w="60" w:type="dxa"/>
              <w:right w:w="100" w:type="dxa"/>
            </w:tcMar>
            <w:vAlign w:val="center"/>
          </w:tcPr>
          <w:p w14:paraId="484804D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22,694,668</w:t>
            </w:r>
          </w:p>
        </w:tc>
        <w:tc>
          <w:tcPr>
            <w:tcW w:w="1087" w:type="dxa"/>
            <w:shd w:val="clear" w:color="auto" w:fill="FFFFFF"/>
            <w:tcMar>
              <w:top w:w="60" w:type="dxa"/>
              <w:left w:w="100" w:type="dxa"/>
              <w:bottom w:w="60" w:type="dxa"/>
              <w:right w:w="100" w:type="dxa"/>
            </w:tcMar>
            <w:vAlign w:val="center"/>
          </w:tcPr>
          <w:p w14:paraId="0DEF8BD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39D3C29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22,694,668</w:t>
            </w:r>
          </w:p>
        </w:tc>
        <w:tc>
          <w:tcPr>
            <w:tcW w:w="1087" w:type="dxa"/>
            <w:shd w:val="clear" w:color="auto" w:fill="FFFFFF"/>
            <w:tcMar>
              <w:top w:w="60" w:type="dxa"/>
              <w:left w:w="100" w:type="dxa"/>
              <w:bottom w:w="60" w:type="dxa"/>
              <w:right w:w="100" w:type="dxa"/>
            </w:tcMar>
            <w:vAlign w:val="center"/>
          </w:tcPr>
          <w:p w14:paraId="0BDD09C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39CBDDF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shd w:val="clear" w:color="auto" w:fill="FFFFFF"/>
            <w:tcMar>
              <w:top w:w="60" w:type="dxa"/>
              <w:left w:w="100" w:type="dxa"/>
              <w:bottom w:w="60" w:type="dxa"/>
              <w:right w:w="100" w:type="dxa"/>
            </w:tcMar>
            <w:vAlign w:val="center"/>
          </w:tcPr>
          <w:p w14:paraId="5D1051E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4F8D196F"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1BF818B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4.29 of Annexes I and II to Delegated Regulation (EU) 2021/2139 in the applicable KPI denominator</w:t>
            </w:r>
          </w:p>
        </w:tc>
        <w:tc>
          <w:tcPr>
            <w:tcW w:w="1086" w:type="dxa"/>
            <w:shd w:val="clear" w:color="auto" w:fill="FFFFFF"/>
            <w:tcMar>
              <w:top w:w="60" w:type="dxa"/>
              <w:left w:w="100" w:type="dxa"/>
              <w:bottom w:w="60" w:type="dxa"/>
              <w:right w:w="100" w:type="dxa"/>
            </w:tcMar>
            <w:vAlign w:val="center"/>
          </w:tcPr>
          <w:p w14:paraId="17D8A68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53,739</w:t>
            </w:r>
          </w:p>
        </w:tc>
        <w:tc>
          <w:tcPr>
            <w:tcW w:w="1087" w:type="dxa"/>
            <w:shd w:val="clear" w:color="auto" w:fill="FFFFFF"/>
            <w:tcMar>
              <w:top w:w="60" w:type="dxa"/>
              <w:left w:w="100" w:type="dxa"/>
              <w:bottom w:w="60" w:type="dxa"/>
              <w:right w:w="100" w:type="dxa"/>
            </w:tcMar>
            <w:vAlign w:val="center"/>
          </w:tcPr>
          <w:p w14:paraId="6D78790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41C7FD6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53,739</w:t>
            </w:r>
          </w:p>
        </w:tc>
        <w:tc>
          <w:tcPr>
            <w:tcW w:w="1087" w:type="dxa"/>
            <w:shd w:val="clear" w:color="auto" w:fill="FFFFFF"/>
            <w:tcMar>
              <w:top w:w="60" w:type="dxa"/>
              <w:left w:w="100" w:type="dxa"/>
              <w:bottom w:w="60" w:type="dxa"/>
              <w:right w:w="100" w:type="dxa"/>
            </w:tcMar>
            <w:vAlign w:val="center"/>
          </w:tcPr>
          <w:p w14:paraId="305115A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31B7D10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shd w:val="clear" w:color="auto" w:fill="FFFFFF"/>
            <w:tcMar>
              <w:top w:w="60" w:type="dxa"/>
              <w:left w:w="100" w:type="dxa"/>
              <w:bottom w:w="60" w:type="dxa"/>
              <w:right w:w="100" w:type="dxa"/>
            </w:tcMar>
            <w:vAlign w:val="center"/>
          </w:tcPr>
          <w:p w14:paraId="73DBBA7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40FEE55A"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731585C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4.30 of Annexes I and II to Delegated Regulation (EU) 2021/2139 in the applicable KPI denominator</w:t>
            </w:r>
          </w:p>
        </w:tc>
        <w:tc>
          <w:tcPr>
            <w:tcW w:w="1086" w:type="dxa"/>
            <w:shd w:val="clear" w:color="auto" w:fill="FFFFFF"/>
            <w:tcMar>
              <w:top w:w="60" w:type="dxa"/>
              <w:left w:w="100" w:type="dxa"/>
              <w:bottom w:w="60" w:type="dxa"/>
              <w:right w:w="100" w:type="dxa"/>
            </w:tcMar>
            <w:vAlign w:val="center"/>
          </w:tcPr>
          <w:p w14:paraId="1BB9DD9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5,254,749</w:t>
            </w:r>
          </w:p>
        </w:tc>
        <w:tc>
          <w:tcPr>
            <w:tcW w:w="1087" w:type="dxa"/>
            <w:shd w:val="clear" w:color="auto" w:fill="FFFFFF"/>
            <w:tcMar>
              <w:top w:w="60" w:type="dxa"/>
              <w:left w:w="100" w:type="dxa"/>
              <w:bottom w:w="60" w:type="dxa"/>
              <w:right w:w="100" w:type="dxa"/>
            </w:tcMar>
            <w:vAlign w:val="center"/>
          </w:tcPr>
          <w:p w14:paraId="4476A99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1756025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5,254,748</w:t>
            </w:r>
          </w:p>
        </w:tc>
        <w:tc>
          <w:tcPr>
            <w:tcW w:w="1087" w:type="dxa"/>
            <w:shd w:val="clear" w:color="auto" w:fill="FFFFFF"/>
            <w:tcMar>
              <w:top w:w="60" w:type="dxa"/>
              <w:left w:w="100" w:type="dxa"/>
              <w:bottom w:w="60" w:type="dxa"/>
              <w:right w:w="100" w:type="dxa"/>
            </w:tcMar>
            <w:vAlign w:val="center"/>
          </w:tcPr>
          <w:p w14:paraId="59A4ABA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1D5B178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w:t>
            </w:r>
          </w:p>
        </w:tc>
        <w:tc>
          <w:tcPr>
            <w:tcW w:w="1087" w:type="dxa"/>
            <w:shd w:val="clear" w:color="auto" w:fill="FFFFFF"/>
            <w:tcMar>
              <w:top w:w="60" w:type="dxa"/>
              <w:left w:w="100" w:type="dxa"/>
              <w:bottom w:w="60" w:type="dxa"/>
              <w:right w:w="100" w:type="dxa"/>
            </w:tcMar>
            <w:vAlign w:val="center"/>
          </w:tcPr>
          <w:p w14:paraId="4AA1EC9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3A749C7A"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0DB18EE1"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4.31 of Annexes I and II to Delegated Regulation (EU) 2021/2139 in the applicable KPI denominator</w:t>
            </w:r>
          </w:p>
        </w:tc>
        <w:tc>
          <w:tcPr>
            <w:tcW w:w="1086" w:type="dxa"/>
            <w:shd w:val="clear" w:color="auto" w:fill="FFFFFF"/>
            <w:tcMar>
              <w:top w:w="60" w:type="dxa"/>
              <w:left w:w="100" w:type="dxa"/>
              <w:bottom w:w="60" w:type="dxa"/>
              <w:right w:w="100" w:type="dxa"/>
            </w:tcMar>
            <w:vAlign w:val="center"/>
          </w:tcPr>
          <w:p w14:paraId="6FC317C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295,198</w:t>
            </w:r>
          </w:p>
        </w:tc>
        <w:tc>
          <w:tcPr>
            <w:tcW w:w="1087" w:type="dxa"/>
            <w:shd w:val="clear" w:color="auto" w:fill="FFFFFF"/>
            <w:tcMar>
              <w:top w:w="60" w:type="dxa"/>
              <w:left w:w="100" w:type="dxa"/>
              <w:bottom w:w="60" w:type="dxa"/>
              <w:right w:w="100" w:type="dxa"/>
            </w:tcMar>
            <w:vAlign w:val="center"/>
          </w:tcPr>
          <w:p w14:paraId="2A73A5B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31A99D3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295,198</w:t>
            </w:r>
          </w:p>
        </w:tc>
        <w:tc>
          <w:tcPr>
            <w:tcW w:w="1087" w:type="dxa"/>
            <w:shd w:val="clear" w:color="auto" w:fill="FFFFFF"/>
            <w:tcMar>
              <w:top w:w="60" w:type="dxa"/>
              <w:left w:w="100" w:type="dxa"/>
              <w:bottom w:w="60" w:type="dxa"/>
              <w:right w:w="100" w:type="dxa"/>
            </w:tcMar>
            <w:vAlign w:val="center"/>
          </w:tcPr>
          <w:p w14:paraId="5301669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77C9118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shd w:val="clear" w:color="auto" w:fill="FFFFFF"/>
            <w:tcMar>
              <w:top w:w="60" w:type="dxa"/>
              <w:left w:w="100" w:type="dxa"/>
              <w:bottom w:w="60" w:type="dxa"/>
              <w:right w:w="100" w:type="dxa"/>
            </w:tcMar>
            <w:vAlign w:val="center"/>
          </w:tcPr>
          <w:p w14:paraId="77B373F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0B830660"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26A3D4C1"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Amount and proportion of other Taxonomy-aligned economic activities not referred to in rows 1 to 6 above in the applicable KPI denominator</w:t>
            </w:r>
          </w:p>
        </w:tc>
        <w:tc>
          <w:tcPr>
            <w:tcW w:w="1086" w:type="dxa"/>
            <w:shd w:val="clear" w:color="auto" w:fill="FFFFFF"/>
            <w:tcMar>
              <w:top w:w="60" w:type="dxa"/>
              <w:left w:w="100" w:type="dxa"/>
              <w:bottom w:w="60" w:type="dxa"/>
              <w:right w:w="100" w:type="dxa"/>
            </w:tcMar>
            <w:vAlign w:val="center"/>
          </w:tcPr>
          <w:p w14:paraId="7625C12F"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3,438,445,927</w:t>
            </w:r>
          </w:p>
        </w:tc>
        <w:tc>
          <w:tcPr>
            <w:tcW w:w="1087" w:type="dxa"/>
            <w:shd w:val="clear" w:color="auto" w:fill="FFFFFF"/>
            <w:tcMar>
              <w:top w:w="60" w:type="dxa"/>
              <w:left w:w="100" w:type="dxa"/>
              <w:bottom w:w="60" w:type="dxa"/>
              <w:right w:w="100" w:type="dxa"/>
            </w:tcMar>
            <w:vAlign w:val="center"/>
          </w:tcPr>
          <w:p w14:paraId="2171167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5.4%</w:t>
            </w:r>
          </w:p>
        </w:tc>
        <w:tc>
          <w:tcPr>
            <w:tcW w:w="1087" w:type="dxa"/>
            <w:shd w:val="clear" w:color="auto" w:fill="FFFFFF"/>
            <w:tcMar>
              <w:top w:w="60" w:type="dxa"/>
              <w:left w:w="100" w:type="dxa"/>
              <w:bottom w:w="60" w:type="dxa"/>
              <w:right w:w="100" w:type="dxa"/>
            </w:tcMar>
            <w:vAlign w:val="center"/>
          </w:tcPr>
          <w:p w14:paraId="0A76DC53"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3,426,490,886</w:t>
            </w:r>
          </w:p>
        </w:tc>
        <w:tc>
          <w:tcPr>
            <w:tcW w:w="1087" w:type="dxa"/>
            <w:shd w:val="clear" w:color="auto" w:fill="FFFFFF"/>
            <w:tcMar>
              <w:top w:w="60" w:type="dxa"/>
              <w:left w:w="100" w:type="dxa"/>
              <w:bottom w:w="60" w:type="dxa"/>
              <w:right w:w="100" w:type="dxa"/>
            </w:tcMar>
            <w:vAlign w:val="center"/>
          </w:tcPr>
          <w:p w14:paraId="0CEF0584"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5.3%</w:t>
            </w:r>
          </w:p>
        </w:tc>
        <w:tc>
          <w:tcPr>
            <w:tcW w:w="1087" w:type="dxa"/>
            <w:shd w:val="clear" w:color="auto" w:fill="FFFFFF"/>
            <w:tcMar>
              <w:top w:w="60" w:type="dxa"/>
              <w:left w:w="100" w:type="dxa"/>
              <w:bottom w:w="60" w:type="dxa"/>
              <w:right w:w="100" w:type="dxa"/>
            </w:tcMar>
            <w:vAlign w:val="center"/>
          </w:tcPr>
          <w:p w14:paraId="48B3569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11,955,041</w:t>
            </w:r>
          </w:p>
        </w:tc>
        <w:tc>
          <w:tcPr>
            <w:tcW w:w="1087" w:type="dxa"/>
            <w:shd w:val="clear" w:color="auto" w:fill="FFFFFF"/>
            <w:tcMar>
              <w:top w:w="60" w:type="dxa"/>
              <w:left w:w="100" w:type="dxa"/>
              <w:bottom w:w="60" w:type="dxa"/>
              <w:right w:w="100" w:type="dxa"/>
            </w:tcMar>
            <w:vAlign w:val="center"/>
          </w:tcPr>
          <w:p w14:paraId="230ED80C"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0.0%</w:t>
            </w:r>
          </w:p>
        </w:tc>
      </w:tr>
      <w:tr w:rsidR="00C7275F" w:rsidRPr="009D3648" w14:paraId="365156CA" w14:textId="77777777" w:rsidTr="00A7450A">
        <w:tblPrEx>
          <w:tblCellMar>
            <w:top w:w="0" w:type="dxa"/>
            <w:bottom w:w="0" w:type="dxa"/>
          </w:tblCellMar>
        </w:tblPrEx>
        <w:tc>
          <w:tcPr>
            <w:tcW w:w="4106" w:type="dxa"/>
            <w:shd w:val="clear" w:color="auto" w:fill="FFFFFF"/>
            <w:tcMar>
              <w:top w:w="60" w:type="dxa"/>
              <w:left w:w="100" w:type="dxa"/>
              <w:bottom w:w="60" w:type="dxa"/>
              <w:right w:w="100" w:type="dxa"/>
            </w:tcMar>
            <w:vAlign w:val="center"/>
          </w:tcPr>
          <w:p w14:paraId="3C984553"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applicable KPI</w:t>
            </w:r>
          </w:p>
        </w:tc>
        <w:tc>
          <w:tcPr>
            <w:tcW w:w="1086" w:type="dxa"/>
            <w:shd w:val="clear" w:color="auto" w:fill="FFFFFF"/>
            <w:tcMar>
              <w:top w:w="60" w:type="dxa"/>
              <w:left w:w="100" w:type="dxa"/>
              <w:bottom w:w="60" w:type="dxa"/>
              <w:right w:w="100" w:type="dxa"/>
            </w:tcMar>
            <w:vAlign w:val="center"/>
          </w:tcPr>
          <w:p w14:paraId="38A860B0"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64,079,585,615</w:t>
            </w:r>
          </w:p>
        </w:tc>
        <w:tc>
          <w:tcPr>
            <w:tcW w:w="1087" w:type="dxa"/>
            <w:shd w:val="clear" w:color="auto" w:fill="FFFFFF"/>
            <w:tcMar>
              <w:top w:w="60" w:type="dxa"/>
              <w:left w:w="100" w:type="dxa"/>
              <w:bottom w:w="60" w:type="dxa"/>
              <w:right w:w="100" w:type="dxa"/>
            </w:tcMar>
            <w:vAlign w:val="center"/>
          </w:tcPr>
          <w:p w14:paraId="2E920A1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1087" w:type="dxa"/>
            <w:shd w:val="clear" w:color="auto" w:fill="FFFFFF"/>
            <w:tcMar>
              <w:top w:w="60" w:type="dxa"/>
              <w:left w:w="100" w:type="dxa"/>
              <w:bottom w:w="60" w:type="dxa"/>
              <w:right w:w="100" w:type="dxa"/>
            </w:tcMar>
            <w:vAlign w:val="center"/>
          </w:tcPr>
          <w:p w14:paraId="339AF3FF"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64,079,585,615</w:t>
            </w:r>
          </w:p>
        </w:tc>
        <w:tc>
          <w:tcPr>
            <w:tcW w:w="1087" w:type="dxa"/>
            <w:shd w:val="clear" w:color="auto" w:fill="FFFFFF"/>
            <w:tcMar>
              <w:top w:w="60" w:type="dxa"/>
              <w:left w:w="100" w:type="dxa"/>
              <w:bottom w:w="60" w:type="dxa"/>
              <w:right w:w="100" w:type="dxa"/>
            </w:tcMar>
            <w:vAlign w:val="center"/>
          </w:tcPr>
          <w:p w14:paraId="5A8F41F8"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1087" w:type="dxa"/>
            <w:shd w:val="clear" w:color="auto" w:fill="FFFFFF"/>
            <w:tcMar>
              <w:top w:w="60" w:type="dxa"/>
              <w:left w:w="100" w:type="dxa"/>
              <w:bottom w:w="60" w:type="dxa"/>
              <w:right w:w="100" w:type="dxa"/>
            </w:tcMar>
            <w:vAlign w:val="center"/>
          </w:tcPr>
          <w:p w14:paraId="44E2BA1C"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64,079,585,615</w:t>
            </w:r>
          </w:p>
        </w:tc>
        <w:tc>
          <w:tcPr>
            <w:tcW w:w="1087" w:type="dxa"/>
            <w:shd w:val="clear" w:color="auto" w:fill="FFFFFF"/>
            <w:tcMar>
              <w:top w:w="60" w:type="dxa"/>
              <w:left w:w="100" w:type="dxa"/>
              <w:bottom w:w="60" w:type="dxa"/>
              <w:right w:w="100" w:type="dxa"/>
            </w:tcMar>
            <w:vAlign w:val="center"/>
          </w:tcPr>
          <w:p w14:paraId="490A970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r>
    </w:tbl>
    <w:p w14:paraId="697B5C65" w14:textId="77777777" w:rsidR="00C7275F" w:rsidRPr="009D3648" w:rsidRDefault="00C7275F">
      <w:pPr>
        <w:rPr>
          <w:rFonts w:ascii="Calibri" w:hAnsi="Calibri" w:cs="Calibri"/>
          <w:sz w:val="22"/>
          <w:szCs w:val="22"/>
          <w:lang w:val="en-GB"/>
        </w:rPr>
      </w:pPr>
    </w:p>
    <w:p w14:paraId="2413D67A" w14:textId="77777777" w:rsidR="00A7450A" w:rsidRDefault="00A7450A">
      <w:pPr>
        <w:rPr>
          <w:rFonts w:ascii="Calibri" w:hAnsi="Calibri" w:cs="Calibri"/>
          <w:b/>
          <w:bCs/>
          <w:sz w:val="22"/>
          <w:szCs w:val="22"/>
          <w:lang w:val="en-GB"/>
        </w:rPr>
      </w:pPr>
      <w:r>
        <w:rPr>
          <w:rFonts w:ascii="Calibri" w:hAnsi="Calibri" w:cs="Calibri"/>
          <w:b/>
          <w:bCs/>
          <w:sz w:val="22"/>
          <w:szCs w:val="22"/>
          <w:lang w:val="en-GB"/>
        </w:rPr>
        <w:br w:type="page"/>
      </w:r>
    </w:p>
    <w:p w14:paraId="3C9486CD" w14:textId="61C38009" w:rsidR="00C7275F" w:rsidRPr="009D3648" w:rsidRDefault="00932CE0">
      <w:pPr>
        <w:spacing w:before="200" w:after="100"/>
        <w:rPr>
          <w:rFonts w:ascii="Calibri" w:hAnsi="Calibri" w:cs="Calibri"/>
          <w:sz w:val="22"/>
          <w:szCs w:val="22"/>
          <w:lang w:val="en-GB"/>
        </w:rPr>
      </w:pPr>
      <w:r w:rsidRPr="009D3648">
        <w:rPr>
          <w:rFonts w:ascii="Calibri" w:hAnsi="Calibri" w:cs="Calibri"/>
          <w:b/>
          <w:bCs/>
          <w:sz w:val="22"/>
          <w:szCs w:val="22"/>
          <w:lang w:val="en-GB"/>
        </w:rPr>
        <w:lastRenderedPageBreak/>
        <w:t>TAXO-KPI-Invest-Tab3 – Template 3 relating to Taxonomy-aligned activities (numerator)</w:t>
      </w:r>
    </w:p>
    <w:p w14:paraId="290446D5" w14:textId="25ECA688" w:rsidR="00C7275F" w:rsidRPr="009D3648" w:rsidRDefault="00C7275F">
      <w:pPr>
        <w:spacing w:before="120" w:after="60"/>
        <w:rPr>
          <w:rFonts w:ascii="Calibri" w:hAnsi="Calibri" w:cs="Calibri"/>
          <w:sz w:val="22"/>
          <w:szCs w:val="22"/>
          <w:lang w:val="en-GB"/>
        </w:rPr>
      </w:pPr>
    </w:p>
    <w:tbl>
      <w:tblPr>
        <w:tblW w:w="1062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0" w:type="dxa"/>
          <w:right w:w="10" w:type="dxa"/>
        </w:tblCellMar>
        <w:tblLook w:val="04A0" w:firstRow="1" w:lastRow="0" w:firstColumn="1" w:lastColumn="0" w:noHBand="0" w:noVBand="1"/>
      </w:tblPr>
      <w:tblGrid>
        <w:gridCol w:w="4103"/>
        <w:gridCol w:w="1087"/>
        <w:gridCol w:w="1087"/>
        <w:gridCol w:w="1087"/>
        <w:gridCol w:w="1087"/>
        <w:gridCol w:w="1087"/>
        <w:gridCol w:w="1089"/>
      </w:tblGrid>
      <w:tr w:rsidR="00A7450A" w:rsidRPr="009D3648" w14:paraId="56603ECD" w14:textId="77777777" w:rsidTr="00A7450A">
        <w:tblPrEx>
          <w:tblCellMar>
            <w:top w:w="0" w:type="dxa"/>
            <w:bottom w:w="0" w:type="dxa"/>
          </w:tblCellMar>
        </w:tblPrEx>
        <w:tc>
          <w:tcPr>
            <w:tcW w:w="4104" w:type="dxa"/>
            <w:vMerge w:val="restart"/>
            <w:shd w:val="clear" w:color="auto" w:fill="1F4E79"/>
            <w:tcMar>
              <w:top w:w="60" w:type="dxa"/>
              <w:left w:w="100" w:type="dxa"/>
              <w:bottom w:w="60" w:type="dxa"/>
              <w:right w:w="100" w:type="dxa"/>
            </w:tcMar>
            <w:vAlign w:val="center"/>
          </w:tcPr>
          <w:p w14:paraId="241E237C"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Economic activities</w:t>
            </w:r>
          </w:p>
        </w:tc>
        <w:tc>
          <w:tcPr>
            <w:tcW w:w="6523" w:type="dxa"/>
            <w:gridSpan w:val="6"/>
            <w:shd w:val="clear" w:color="auto" w:fill="1F4E79"/>
            <w:tcMar>
              <w:top w:w="60" w:type="dxa"/>
              <w:left w:w="100" w:type="dxa"/>
              <w:bottom w:w="60" w:type="dxa"/>
              <w:right w:w="100" w:type="dxa"/>
            </w:tcMar>
            <w:vAlign w:val="center"/>
          </w:tcPr>
          <w:p w14:paraId="3344182D"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TURNOVER 2025</w:t>
            </w:r>
          </w:p>
        </w:tc>
      </w:tr>
      <w:tr w:rsidR="00A7450A" w:rsidRPr="009D3648" w14:paraId="1F1B9D80" w14:textId="77777777" w:rsidTr="00A7450A">
        <w:tblPrEx>
          <w:tblCellMar>
            <w:top w:w="0" w:type="dxa"/>
            <w:bottom w:w="0" w:type="dxa"/>
          </w:tblCellMar>
        </w:tblPrEx>
        <w:tc>
          <w:tcPr>
            <w:tcW w:w="4104" w:type="dxa"/>
            <w:vMerge/>
            <w:shd w:val="clear" w:color="auto" w:fill="1F4E79"/>
            <w:tcMar>
              <w:top w:w="60" w:type="dxa"/>
              <w:left w:w="100" w:type="dxa"/>
              <w:bottom w:w="60" w:type="dxa"/>
              <w:right w:w="100" w:type="dxa"/>
            </w:tcMar>
            <w:vAlign w:val="center"/>
          </w:tcPr>
          <w:p w14:paraId="4556311D" w14:textId="77777777" w:rsidR="00A7450A" w:rsidRPr="009D3648" w:rsidRDefault="00A7450A">
            <w:pPr>
              <w:jc w:val="center"/>
              <w:rPr>
                <w:rFonts w:ascii="Calibri" w:hAnsi="Calibri" w:cs="Calibri"/>
                <w:sz w:val="22"/>
                <w:szCs w:val="22"/>
                <w:lang w:val="en-GB"/>
              </w:rPr>
            </w:pPr>
          </w:p>
        </w:tc>
        <w:tc>
          <w:tcPr>
            <w:tcW w:w="6523" w:type="dxa"/>
            <w:gridSpan w:val="6"/>
            <w:shd w:val="clear" w:color="auto" w:fill="1F4E79"/>
            <w:tcMar>
              <w:top w:w="60" w:type="dxa"/>
              <w:left w:w="100" w:type="dxa"/>
              <w:bottom w:w="60" w:type="dxa"/>
              <w:right w:w="100" w:type="dxa"/>
            </w:tcMar>
            <w:vAlign w:val="center"/>
          </w:tcPr>
          <w:p w14:paraId="16A6FBEE"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 and proportion (information to be presented in monetary amount and percentage)</w:t>
            </w:r>
          </w:p>
        </w:tc>
      </w:tr>
      <w:tr w:rsidR="00A7450A" w:rsidRPr="009D3648" w14:paraId="227EADA1" w14:textId="77777777" w:rsidTr="00A7450A">
        <w:tblPrEx>
          <w:tblCellMar>
            <w:top w:w="0" w:type="dxa"/>
            <w:bottom w:w="0" w:type="dxa"/>
          </w:tblCellMar>
        </w:tblPrEx>
        <w:tc>
          <w:tcPr>
            <w:tcW w:w="4104" w:type="dxa"/>
            <w:vMerge/>
            <w:shd w:val="clear" w:color="auto" w:fill="1F4E79"/>
            <w:tcMar>
              <w:top w:w="60" w:type="dxa"/>
              <w:left w:w="100" w:type="dxa"/>
              <w:bottom w:w="60" w:type="dxa"/>
              <w:right w:w="100" w:type="dxa"/>
            </w:tcMar>
            <w:vAlign w:val="center"/>
          </w:tcPr>
          <w:p w14:paraId="0175E848" w14:textId="77777777" w:rsidR="00A7450A" w:rsidRPr="009D3648" w:rsidRDefault="00A7450A">
            <w:pPr>
              <w:jc w:val="center"/>
              <w:rPr>
                <w:rFonts w:ascii="Calibri" w:hAnsi="Calibri" w:cs="Calibri"/>
                <w:sz w:val="22"/>
                <w:szCs w:val="22"/>
                <w:lang w:val="en-GB"/>
              </w:rPr>
            </w:pPr>
          </w:p>
        </w:tc>
        <w:tc>
          <w:tcPr>
            <w:tcW w:w="2173" w:type="dxa"/>
            <w:gridSpan w:val="2"/>
            <w:shd w:val="clear" w:color="auto" w:fill="1F4E79"/>
            <w:tcMar>
              <w:top w:w="60" w:type="dxa"/>
              <w:left w:w="100" w:type="dxa"/>
              <w:bottom w:w="60" w:type="dxa"/>
              <w:right w:w="100" w:type="dxa"/>
            </w:tcMar>
            <w:vAlign w:val="center"/>
          </w:tcPr>
          <w:p w14:paraId="235CCF26"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CCM + CCA</w:t>
            </w:r>
          </w:p>
        </w:tc>
        <w:tc>
          <w:tcPr>
            <w:tcW w:w="2174" w:type="dxa"/>
            <w:gridSpan w:val="2"/>
            <w:shd w:val="clear" w:color="auto" w:fill="1F4E79"/>
            <w:tcMar>
              <w:top w:w="60" w:type="dxa"/>
              <w:left w:w="100" w:type="dxa"/>
              <w:bottom w:w="60" w:type="dxa"/>
              <w:right w:w="100" w:type="dxa"/>
            </w:tcMar>
            <w:vAlign w:val="center"/>
          </w:tcPr>
          <w:p w14:paraId="3A83B91A"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mitigation (CCM)</w:t>
            </w:r>
          </w:p>
        </w:tc>
        <w:tc>
          <w:tcPr>
            <w:tcW w:w="2176" w:type="dxa"/>
            <w:gridSpan w:val="2"/>
            <w:shd w:val="clear" w:color="auto" w:fill="1F4E79"/>
            <w:tcMar>
              <w:top w:w="60" w:type="dxa"/>
              <w:left w:w="100" w:type="dxa"/>
              <w:bottom w:w="60" w:type="dxa"/>
              <w:right w:w="100" w:type="dxa"/>
            </w:tcMar>
            <w:vAlign w:val="center"/>
          </w:tcPr>
          <w:p w14:paraId="6A60E6AF"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adaptation (CCA)</w:t>
            </w:r>
          </w:p>
        </w:tc>
      </w:tr>
      <w:tr w:rsidR="00A7450A" w:rsidRPr="009D3648" w14:paraId="6EE00922" w14:textId="77777777" w:rsidTr="00A7450A">
        <w:tblPrEx>
          <w:tblCellMar>
            <w:top w:w="0" w:type="dxa"/>
            <w:bottom w:w="0" w:type="dxa"/>
          </w:tblCellMar>
        </w:tblPrEx>
        <w:tc>
          <w:tcPr>
            <w:tcW w:w="4104" w:type="dxa"/>
            <w:vMerge/>
            <w:shd w:val="clear" w:color="auto" w:fill="1F4E79"/>
            <w:tcMar>
              <w:top w:w="60" w:type="dxa"/>
              <w:left w:w="100" w:type="dxa"/>
              <w:bottom w:w="60" w:type="dxa"/>
              <w:right w:w="100" w:type="dxa"/>
            </w:tcMar>
            <w:vAlign w:val="center"/>
          </w:tcPr>
          <w:p w14:paraId="70D7BC19" w14:textId="77777777" w:rsidR="00A7450A" w:rsidRPr="009D3648" w:rsidRDefault="00A7450A">
            <w:pPr>
              <w:jc w:val="center"/>
              <w:rPr>
                <w:rFonts w:ascii="Calibri" w:hAnsi="Calibri" w:cs="Calibri"/>
                <w:sz w:val="22"/>
                <w:szCs w:val="22"/>
                <w:lang w:val="en-GB"/>
              </w:rPr>
            </w:pPr>
          </w:p>
        </w:tc>
        <w:tc>
          <w:tcPr>
            <w:tcW w:w="1086" w:type="dxa"/>
            <w:shd w:val="clear" w:color="auto" w:fill="1F4E79"/>
            <w:tcMar>
              <w:top w:w="60" w:type="dxa"/>
              <w:left w:w="100" w:type="dxa"/>
              <w:bottom w:w="60" w:type="dxa"/>
              <w:right w:w="100" w:type="dxa"/>
            </w:tcMar>
            <w:vAlign w:val="center"/>
          </w:tcPr>
          <w:p w14:paraId="1F57F748"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7" w:type="dxa"/>
            <w:shd w:val="clear" w:color="auto" w:fill="1F4E79"/>
            <w:tcMar>
              <w:top w:w="60" w:type="dxa"/>
              <w:left w:w="100" w:type="dxa"/>
              <w:bottom w:w="60" w:type="dxa"/>
              <w:right w:w="100" w:type="dxa"/>
            </w:tcMar>
            <w:vAlign w:val="center"/>
          </w:tcPr>
          <w:p w14:paraId="0CB643BA"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1087" w:type="dxa"/>
            <w:shd w:val="clear" w:color="auto" w:fill="1F4E79"/>
            <w:tcMar>
              <w:top w:w="60" w:type="dxa"/>
              <w:left w:w="100" w:type="dxa"/>
              <w:bottom w:w="60" w:type="dxa"/>
              <w:right w:w="100" w:type="dxa"/>
            </w:tcMar>
            <w:vAlign w:val="center"/>
          </w:tcPr>
          <w:p w14:paraId="4750DD62"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7" w:type="dxa"/>
            <w:shd w:val="clear" w:color="auto" w:fill="1F4E79"/>
            <w:tcMar>
              <w:top w:w="60" w:type="dxa"/>
              <w:left w:w="100" w:type="dxa"/>
              <w:bottom w:w="60" w:type="dxa"/>
              <w:right w:w="100" w:type="dxa"/>
            </w:tcMar>
            <w:vAlign w:val="center"/>
          </w:tcPr>
          <w:p w14:paraId="0449D5E4"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1087" w:type="dxa"/>
            <w:shd w:val="clear" w:color="auto" w:fill="1F4E79"/>
            <w:tcMar>
              <w:top w:w="60" w:type="dxa"/>
              <w:left w:w="100" w:type="dxa"/>
              <w:bottom w:w="60" w:type="dxa"/>
              <w:right w:w="100" w:type="dxa"/>
            </w:tcMar>
            <w:vAlign w:val="center"/>
          </w:tcPr>
          <w:p w14:paraId="1F9F44C7"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9" w:type="dxa"/>
            <w:shd w:val="clear" w:color="auto" w:fill="1F4E79"/>
            <w:tcMar>
              <w:top w:w="60" w:type="dxa"/>
              <w:left w:w="100" w:type="dxa"/>
              <w:bottom w:w="60" w:type="dxa"/>
              <w:right w:w="100" w:type="dxa"/>
            </w:tcMar>
            <w:vAlign w:val="center"/>
          </w:tcPr>
          <w:p w14:paraId="3C1E3B91"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r>
      <w:tr w:rsidR="00C7275F" w:rsidRPr="009D3648" w14:paraId="7F146D6E" w14:textId="77777777" w:rsidTr="00A7450A">
        <w:tblPrEx>
          <w:tblCellMar>
            <w:top w:w="0" w:type="dxa"/>
            <w:bottom w:w="0" w:type="dxa"/>
          </w:tblCellMar>
        </w:tblPrEx>
        <w:tc>
          <w:tcPr>
            <w:tcW w:w="4104" w:type="dxa"/>
            <w:shd w:val="clear" w:color="auto" w:fill="FFFFFF"/>
            <w:tcMar>
              <w:top w:w="60" w:type="dxa"/>
              <w:left w:w="100" w:type="dxa"/>
              <w:bottom w:w="60" w:type="dxa"/>
              <w:right w:w="100" w:type="dxa"/>
            </w:tcMar>
            <w:vAlign w:val="center"/>
          </w:tcPr>
          <w:p w14:paraId="23CB46ED"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4.26 of Annexes I and II to Delegated Regulation (EU) 2021/2139 in the applicable KPI numerator</w:t>
            </w:r>
          </w:p>
        </w:tc>
        <w:tc>
          <w:tcPr>
            <w:tcW w:w="1086" w:type="dxa"/>
            <w:shd w:val="clear" w:color="auto" w:fill="FFFFFF"/>
            <w:tcMar>
              <w:top w:w="60" w:type="dxa"/>
              <w:left w:w="100" w:type="dxa"/>
              <w:bottom w:w="60" w:type="dxa"/>
              <w:right w:w="100" w:type="dxa"/>
            </w:tcMar>
            <w:vAlign w:val="center"/>
          </w:tcPr>
          <w:p w14:paraId="486CC96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shd w:val="clear" w:color="auto" w:fill="FFFFFF"/>
            <w:tcMar>
              <w:top w:w="60" w:type="dxa"/>
              <w:left w:w="100" w:type="dxa"/>
              <w:bottom w:w="60" w:type="dxa"/>
              <w:right w:w="100" w:type="dxa"/>
            </w:tcMar>
            <w:vAlign w:val="center"/>
          </w:tcPr>
          <w:p w14:paraId="1076CC4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3886CC0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shd w:val="clear" w:color="auto" w:fill="FFFFFF"/>
            <w:tcMar>
              <w:top w:w="60" w:type="dxa"/>
              <w:left w:w="100" w:type="dxa"/>
              <w:bottom w:w="60" w:type="dxa"/>
              <w:right w:w="100" w:type="dxa"/>
            </w:tcMar>
            <w:vAlign w:val="center"/>
          </w:tcPr>
          <w:p w14:paraId="264E106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1BD7C31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9" w:type="dxa"/>
            <w:shd w:val="clear" w:color="auto" w:fill="FFFFFF"/>
            <w:tcMar>
              <w:top w:w="60" w:type="dxa"/>
              <w:left w:w="100" w:type="dxa"/>
              <w:bottom w:w="60" w:type="dxa"/>
              <w:right w:w="100" w:type="dxa"/>
            </w:tcMar>
            <w:vAlign w:val="center"/>
          </w:tcPr>
          <w:p w14:paraId="3F641F6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2D327F37" w14:textId="77777777" w:rsidTr="00A7450A">
        <w:tblPrEx>
          <w:tblCellMar>
            <w:top w:w="0" w:type="dxa"/>
            <w:bottom w:w="0" w:type="dxa"/>
          </w:tblCellMar>
        </w:tblPrEx>
        <w:tc>
          <w:tcPr>
            <w:tcW w:w="4104" w:type="dxa"/>
            <w:shd w:val="clear" w:color="auto" w:fill="FFFFFF"/>
            <w:tcMar>
              <w:top w:w="60" w:type="dxa"/>
              <w:left w:w="100" w:type="dxa"/>
              <w:bottom w:w="60" w:type="dxa"/>
              <w:right w:w="100" w:type="dxa"/>
            </w:tcMar>
            <w:vAlign w:val="center"/>
          </w:tcPr>
          <w:p w14:paraId="4DB700B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4.27 of Annexes I and II to Delegated Regulation (EU) 2021/2139 in the applicable KPI numerator</w:t>
            </w:r>
          </w:p>
        </w:tc>
        <w:tc>
          <w:tcPr>
            <w:tcW w:w="1086" w:type="dxa"/>
            <w:shd w:val="clear" w:color="auto" w:fill="FFFFFF"/>
            <w:tcMar>
              <w:top w:w="60" w:type="dxa"/>
              <w:left w:w="100" w:type="dxa"/>
              <w:bottom w:w="60" w:type="dxa"/>
              <w:right w:w="100" w:type="dxa"/>
            </w:tcMar>
            <w:vAlign w:val="center"/>
          </w:tcPr>
          <w:p w14:paraId="00A3016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441,453</w:t>
            </w:r>
          </w:p>
        </w:tc>
        <w:tc>
          <w:tcPr>
            <w:tcW w:w="1087" w:type="dxa"/>
            <w:shd w:val="clear" w:color="auto" w:fill="FFFFFF"/>
            <w:tcMar>
              <w:top w:w="60" w:type="dxa"/>
              <w:left w:w="100" w:type="dxa"/>
              <w:bottom w:w="60" w:type="dxa"/>
              <w:right w:w="100" w:type="dxa"/>
            </w:tcMar>
            <w:vAlign w:val="center"/>
          </w:tcPr>
          <w:p w14:paraId="0879007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2512C1D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441,453</w:t>
            </w:r>
          </w:p>
        </w:tc>
        <w:tc>
          <w:tcPr>
            <w:tcW w:w="1087" w:type="dxa"/>
            <w:shd w:val="clear" w:color="auto" w:fill="FFFFFF"/>
            <w:tcMar>
              <w:top w:w="60" w:type="dxa"/>
              <w:left w:w="100" w:type="dxa"/>
              <w:bottom w:w="60" w:type="dxa"/>
              <w:right w:w="100" w:type="dxa"/>
            </w:tcMar>
            <w:vAlign w:val="center"/>
          </w:tcPr>
          <w:p w14:paraId="5BA37C2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29DEF65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9" w:type="dxa"/>
            <w:shd w:val="clear" w:color="auto" w:fill="FFFFFF"/>
            <w:tcMar>
              <w:top w:w="60" w:type="dxa"/>
              <w:left w:w="100" w:type="dxa"/>
              <w:bottom w:w="60" w:type="dxa"/>
              <w:right w:w="100" w:type="dxa"/>
            </w:tcMar>
            <w:vAlign w:val="center"/>
          </w:tcPr>
          <w:p w14:paraId="699C533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7841A1CA" w14:textId="77777777" w:rsidTr="00A7450A">
        <w:tblPrEx>
          <w:tblCellMar>
            <w:top w:w="0" w:type="dxa"/>
            <w:bottom w:w="0" w:type="dxa"/>
          </w:tblCellMar>
        </w:tblPrEx>
        <w:tc>
          <w:tcPr>
            <w:tcW w:w="4104" w:type="dxa"/>
            <w:shd w:val="clear" w:color="auto" w:fill="FFFFFF"/>
            <w:tcMar>
              <w:top w:w="60" w:type="dxa"/>
              <w:left w:w="100" w:type="dxa"/>
              <w:bottom w:w="60" w:type="dxa"/>
              <w:right w:w="100" w:type="dxa"/>
            </w:tcMar>
            <w:vAlign w:val="center"/>
          </w:tcPr>
          <w:p w14:paraId="054726F8"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4.28 of Annexes I and II to Delegated Regulation (EU) 2021/2139 in the applicable KPI numerator</w:t>
            </w:r>
          </w:p>
        </w:tc>
        <w:tc>
          <w:tcPr>
            <w:tcW w:w="1086" w:type="dxa"/>
            <w:shd w:val="clear" w:color="auto" w:fill="FFFFFF"/>
            <w:tcMar>
              <w:top w:w="60" w:type="dxa"/>
              <w:left w:w="100" w:type="dxa"/>
              <w:bottom w:w="60" w:type="dxa"/>
              <w:right w:w="100" w:type="dxa"/>
            </w:tcMar>
            <w:vAlign w:val="center"/>
          </w:tcPr>
          <w:p w14:paraId="15AE9E3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35,086,646</w:t>
            </w:r>
          </w:p>
        </w:tc>
        <w:tc>
          <w:tcPr>
            <w:tcW w:w="1087" w:type="dxa"/>
            <w:shd w:val="clear" w:color="auto" w:fill="FFFFFF"/>
            <w:tcMar>
              <w:top w:w="60" w:type="dxa"/>
              <w:left w:w="100" w:type="dxa"/>
              <w:bottom w:w="60" w:type="dxa"/>
              <w:right w:w="100" w:type="dxa"/>
            </w:tcMar>
            <w:vAlign w:val="center"/>
          </w:tcPr>
          <w:p w14:paraId="66F928B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1.3%</w:t>
            </w:r>
          </w:p>
        </w:tc>
        <w:tc>
          <w:tcPr>
            <w:tcW w:w="1087" w:type="dxa"/>
            <w:shd w:val="clear" w:color="auto" w:fill="FFFFFF"/>
            <w:tcMar>
              <w:top w:w="60" w:type="dxa"/>
              <w:left w:w="100" w:type="dxa"/>
              <w:bottom w:w="60" w:type="dxa"/>
              <w:right w:w="100" w:type="dxa"/>
            </w:tcMar>
            <w:vAlign w:val="center"/>
          </w:tcPr>
          <w:p w14:paraId="7F9C6BF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35,086,646</w:t>
            </w:r>
          </w:p>
        </w:tc>
        <w:tc>
          <w:tcPr>
            <w:tcW w:w="1087" w:type="dxa"/>
            <w:shd w:val="clear" w:color="auto" w:fill="FFFFFF"/>
            <w:tcMar>
              <w:top w:w="60" w:type="dxa"/>
              <w:left w:w="100" w:type="dxa"/>
              <w:bottom w:w="60" w:type="dxa"/>
              <w:right w:w="100" w:type="dxa"/>
            </w:tcMar>
            <w:vAlign w:val="center"/>
          </w:tcPr>
          <w:p w14:paraId="2EE6E15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1.3%</w:t>
            </w:r>
          </w:p>
        </w:tc>
        <w:tc>
          <w:tcPr>
            <w:tcW w:w="1087" w:type="dxa"/>
            <w:shd w:val="clear" w:color="auto" w:fill="FFFFFF"/>
            <w:tcMar>
              <w:top w:w="60" w:type="dxa"/>
              <w:left w:w="100" w:type="dxa"/>
              <w:bottom w:w="60" w:type="dxa"/>
              <w:right w:w="100" w:type="dxa"/>
            </w:tcMar>
            <w:vAlign w:val="center"/>
          </w:tcPr>
          <w:p w14:paraId="6A605F5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9" w:type="dxa"/>
            <w:shd w:val="clear" w:color="auto" w:fill="FFFFFF"/>
            <w:tcMar>
              <w:top w:w="60" w:type="dxa"/>
              <w:left w:w="100" w:type="dxa"/>
              <w:bottom w:w="60" w:type="dxa"/>
              <w:right w:w="100" w:type="dxa"/>
            </w:tcMar>
            <w:vAlign w:val="center"/>
          </w:tcPr>
          <w:p w14:paraId="0E373D9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2FEA333F" w14:textId="77777777" w:rsidTr="00A7450A">
        <w:tblPrEx>
          <w:tblCellMar>
            <w:top w:w="0" w:type="dxa"/>
            <w:bottom w:w="0" w:type="dxa"/>
          </w:tblCellMar>
        </w:tblPrEx>
        <w:tc>
          <w:tcPr>
            <w:tcW w:w="4104" w:type="dxa"/>
            <w:shd w:val="clear" w:color="auto" w:fill="FFFFFF"/>
            <w:tcMar>
              <w:top w:w="60" w:type="dxa"/>
              <w:left w:w="100" w:type="dxa"/>
              <w:bottom w:w="60" w:type="dxa"/>
              <w:right w:w="100" w:type="dxa"/>
            </w:tcMar>
            <w:vAlign w:val="center"/>
          </w:tcPr>
          <w:p w14:paraId="08E8B27B"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4.29 of Annexes I and II to Delegated Regulation (EU) 2021/2139 in the applicable KPI numerator</w:t>
            </w:r>
          </w:p>
        </w:tc>
        <w:tc>
          <w:tcPr>
            <w:tcW w:w="1086" w:type="dxa"/>
            <w:shd w:val="clear" w:color="auto" w:fill="FFFFFF"/>
            <w:tcMar>
              <w:top w:w="60" w:type="dxa"/>
              <w:left w:w="100" w:type="dxa"/>
              <w:bottom w:w="60" w:type="dxa"/>
              <w:right w:w="100" w:type="dxa"/>
            </w:tcMar>
            <w:vAlign w:val="center"/>
          </w:tcPr>
          <w:p w14:paraId="6213C1F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2,218</w:t>
            </w:r>
          </w:p>
        </w:tc>
        <w:tc>
          <w:tcPr>
            <w:tcW w:w="1087" w:type="dxa"/>
            <w:shd w:val="clear" w:color="auto" w:fill="FFFFFF"/>
            <w:tcMar>
              <w:top w:w="60" w:type="dxa"/>
              <w:left w:w="100" w:type="dxa"/>
              <w:bottom w:w="60" w:type="dxa"/>
              <w:right w:w="100" w:type="dxa"/>
            </w:tcMar>
            <w:vAlign w:val="center"/>
          </w:tcPr>
          <w:p w14:paraId="2B05242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7F48DCE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2,218</w:t>
            </w:r>
          </w:p>
        </w:tc>
        <w:tc>
          <w:tcPr>
            <w:tcW w:w="1087" w:type="dxa"/>
            <w:shd w:val="clear" w:color="auto" w:fill="FFFFFF"/>
            <w:tcMar>
              <w:top w:w="60" w:type="dxa"/>
              <w:left w:w="100" w:type="dxa"/>
              <w:bottom w:w="60" w:type="dxa"/>
              <w:right w:w="100" w:type="dxa"/>
            </w:tcMar>
            <w:vAlign w:val="center"/>
          </w:tcPr>
          <w:p w14:paraId="2950A4D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15D010F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9" w:type="dxa"/>
            <w:shd w:val="clear" w:color="auto" w:fill="FFFFFF"/>
            <w:tcMar>
              <w:top w:w="60" w:type="dxa"/>
              <w:left w:w="100" w:type="dxa"/>
              <w:bottom w:w="60" w:type="dxa"/>
              <w:right w:w="100" w:type="dxa"/>
            </w:tcMar>
            <w:vAlign w:val="center"/>
          </w:tcPr>
          <w:p w14:paraId="6A2887A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77ACE0E2" w14:textId="77777777" w:rsidTr="00A7450A">
        <w:tblPrEx>
          <w:tblCellMar>
            <w:top w:w="0" w:type="dxa"/>
            <w:bottom w:w="0" w:type="dxa"/>
          </w:tblCellMar>
        </w:tblPrEx>
        <w:tc>
          <w:tcPr>
            <w:tcW w:w="4104" w:type="dxa"/>
            <w:shd w:val="clear" w:color="auto" w:fill="FFFFFF"/>
            <w:tcMar>
              <w:top w:w="60" w:type="dxa"/>
              <w:left w:w="100" w:type="dxa"/>
              <w:bottom w:w="60" w:type="dxa"/>
              <w:right w:w="100" w:type="dxa"/>
            </w:tcMar>
            <w:vAlign w:val="center"/>
          </w:tcPr>
          <w:p w14:paraId="46BCB63A"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4.30 of Annexes I and II to Delegated Regulation (EU) 2021/2139 in the applicable KPI numerator</w:t>
            </w:r>
          </w:p>
        </w:tc>
        <w:tc>
          <w:tcPr>
            <w:tcW w:w="1086" w:type="dxa"/>
            <w:shd w:val="clear" w:color="auto" w:fill="FFFFFF"/>
            <w:tcMar>
              <w:top w:w="60" w:type="dxa"/>
              <w:left w:w="100" w:type="dxa"/>
              <w:bottom w:w="60" w:type="dxa"/>
              <w:right w:w="100" w:type="dxa"/>
            </w:tcMar>
            <w:vAlign w:val="center"/>
          </w:tcPr>
          <w:p w14:paraId="50A7ADB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3,984,915</w:t>
            </w:r>
          </w:p>
        </w:tc>
        <w:tc>
          <w:tcPr>
            <w:tcW w:w="1087" w:type="dxa"/>
            <w:shd w:val="clear" w:color="auto" w:fill="FFFFFF"/>
            <w:tcMar>
              <w:top w:w="60" w:type="dxa"/>
              <w:left w:w="100" w:type="dxa"/>
              <w:bottom w:w="60" w:type="dxa"/>
              <w:right w:w="100" w:type="dxa"/>
            </w:tcMar>
            <w:vAlign w:val="center"/>
          </w:tcPr>
          <w:p w14:paraId="4BBFBC0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0.1%</w:t>
            </w:r>
          </w:p>
        </w:tc>
        <w:tc>
          <w:tcPr>
            <w:tcW w:w="1087" w:type="dxa"/>
            <w:shd w:val="clear" w:color="auto" w:fill="FFFFFF"/>
            <w:tcMar>
              <w:top w:w="60" w:type="dxa"/>
              <w:left w:w="100" w:type="dxa"/>
              <w:bottom w:w="60" w:type="dxa"/>
              <w:right w:w="100" w:type="dxa"/>
            </w:tcMar>
            <w:vAlign w:val="center"/>
          </w:tcPr>
          <w:p w14:paraId="159DA9D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3,984,915</w:t>
            </w:r>
          </w:p>
        </w:tc>
        <w:tc>
          <w:tcPr>
            <w:tcW w:w="1087" w:type="dxa"/>
            <w:shd w:val="clear" w:color="auto" w:fill="FFFFFF"/>
            <w:tcMar>
              <w:top w:w="60" w:type="dxa"/>
              <w:left w:w="100" w:type="dxa"/>
              <w:bottom w:w="60" w:type="dxa"/>
              <w:right w:w="100" w:type="dxa"/>
            </w:tcMar>
            <w:vAlign w:val="center"/>
          </w:tcPr>
          <w:p w14:paraId="5C889D2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0.1%</w:t>
            </w:r>
          </w:p>
        </w:tc>
        <w:tc>
          <w:tcPr>
            <w:tcW w:w="1087" w:type="dxa"/>
            <w:shd w:val="clear" w:color="auto" w:fill="FFFFFF"/>
            <w:tcMar>
              <w:top w:w="60" w:type="dxa"/>
              <w:left w:w="100" w:type="dxa"/>
              <w:bottom w:w="60" w:type="dxa"/>
              <w:right w:w="100" w:type="dxa"/>
            </w:tcMar>
            <w:vAlign w:val="center"/>
          </w:tcPr>
          <w:p w14:paraId="0000CB8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9" w:type="dxa"/>
            <w:shd w:val="clear" w:color="auto" w:fill="FFFFFF"/>
            <w:tcMar>
              <w:top w:w="60" w:type="dxa"/>
              <w:left w:w="100" w:type="dxa"/>
              <w:bottom w:w="60" w:type="dxa"/>
              <w:right w:w="100" w:type="dxa"/>
            </w:tcMar>
            <w:vAlign w:val="center"/>
          </w:tcPr>
          <w:p w14:paraId="398D2AB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0744FEE2" w14:textId="77777777" w:rsidTr="00A7450A">
        <w:tblPrEx>
          <w:tblCellMar>
            <w:top w:w="0" w:type="dxa"/>
            <w:bottom w:w="0" w:type="dxa"/>
          </w:tblCellMar>
        </w:tblPrEx>
        <w:tc>
          <w:tcPr>
            <w:tcW w:w="4104" w:type="dxa"/>
            <w:shd w:val="clear" w:color="auto" w:fill="FFFFFF"/>
            <w:tcMar>
              <w:top w:w="60" w:type="dxa"/>
              <w:left w:w="100" w:type="dxa"/>
              <w:bottom w:w="60" w:type="dxa"/>
              <w:right w:w="100" w:type="dxa"/>
            </w:tcMar>
            <w:vAlign w:val="center"/>
          </w:tcPr>
          <w:p w14:paraId="3E3C3863"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4.31 of Annexes I and II to Delegated Regulation (EU) 2021/2139 in the applicable KPI numerator</w:t>
            </w:r>
          </w:p>
        </w:tc>
        <w:tc>
          <w:tcPr>
            <w:tcW w:w="1086" w:type="dxa"/>
            <w:shd w:val="clear" w:color="auto" w:fill="FFFFFF"/>
            <w:tcMar>
              <w:top w:w="60" w:type="dxa"/>
              <w:left w:w="100" w:type="dxa"/>
              <w:bottom w:w="60" w:type="dxa"/>
              <w:right w:w="100" w:type="dxa"/>
            </w:tcMar>
            <w:vAlign w:val="center"/>
          </w:tcPr>
          <w:p w14:paraId="274BF23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1,377,425</w:t>
            </w:r>
          </w:p>
        </w:tc>
        <w:tc>
          <w:tcPr>
            <w:tcW w:w="1087" w:type="dxa"/>
            <w:shd w:val="clear" w:color="auto" w:fill="FFFFFF"/>
            <w:tcMar>
              <w:top w:w="60" w:type="dxa"/>
              <w:left w:w="100" w:type="dxa"/>
              <w:bottom w:w="60" w:type="dxa"/>
              <w:right w:w="100" w:type="dxa"/>
            </w:tcMar>
            <w:vAlign w:val="center"/>
          </w:tcPr>
          <w:p w14:paraId="279860C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1BC4A31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1,377,425</w:t>
            </w:r>
          </w:p>
        </w:tc>
        <w:tc>
          <w:tcPr>
            <w:tcW w:w="1087" w:type="dxa"/>
            <w:shd w:val="clear" w:color="auto" w:fill="FFFFFF"/>
            <w:tcMar>
              <w:top w:w="60" w:type="dxa"/>
              <w:left w:w="100" w:type="dxa"/>
              <w:bottom w:w="60" w:type="dxa"/>
              <w:right w:w="100" w:type="dxa"/>
            </w:tcMar>
            <w:vAlign w:val="center"/>
          </w:tcPr>
          <w:p w14:paraId="61B2183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shd w:val="clear" w:color="auto" w:fill="FFFFFF"/>
            <w:tcMar>
              <w:top w:w="60" w:type="dxa"/>
              <w:left w:w="100" w:type="dxa"/>
              <w:bottom w:w="60" w:type="dxa"/>
              <w:right w:w="100" w:type="dxa"/>
            </w:tcMar>
            <w:vAlign w:val="center"/>
          </w:tcPr>
          <w:p w14:paraId="0858459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9" w:type="dxa"/>
            <w:shd w:val="clear" w:color="auto" w:fill="FFFFFF"/>
            <w:tcMar>
              <w:top w:w="60" w:type="dxa"/>
              <w:left w:w="100" w:type="dxa"/>
              <w:bottom w:w="60" w:type="dxa"/>
              <w:right w:w="100" w:type="dxa"/>
            </w:tcMar>
            <w:vAlign w:val="center"/>
          </w:tcPr>
          <w:p w14:paraId="3D7331A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1397186D" w14:textId="77777777" w:rsidTr="00A7450A">
        <w:tblPrEx>
          <w:tblCellMar>
            <w:top w:w="0" w:type="dxa"/>
            <w:bottom w:w="0" w:type="dxa"/>
          </w:tblCellMar>
        </w:tblPrEx>
        <w:tc>
          <w:tcPr>
            <w:tcW w:w="4104" w:type="dxa"/>
            <w:shd w:val="clear" w:color="auto" w:fill="FFFFFF"/>
            <w:tcMar>
              <w:top w:w="60" w:type="dxa"/>
              <w:left w:w="100" w:type="dxa"/>
              <w:bottom w:w="60" w:type="dxa"/>
              <w:right w:w="100" w:type="dxa"/>
            </w:tcMar>
            <w:vAlign w:val="center"/>
          </w:tcPr>
          <w:p w14:paraId="7CF2D972"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Amount and proportion of other Taxonomy-aligned economic activities not referred to in rows 1 to 6 above in the applicable KPI numerator</w:t>
            </w:r>
          </w:p>
        </w:tc>
        <w:tc>
          <w:tcPr>
            <w:tcW w:w="1086" w:type="dxa"/>
            <w:shd w:val="clear" w:color="auto" w:fill="FFFFFF"/>
            <w:tcMar>
              <w:top w:w="60" w:type="dxa"/>
              <w:left w:w="100" w:type="dxa"/>
              <w:bottom w:w="60" w:type="dxa"/>
              <w:right w:w="100" w:type="dxa"/>
            </w:tcMar>
            <w:vAlign w:val="center"/>
          </w:tcPr>
          <w:p w14:paraId="0B8CF735"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2,790,362,157</w:t>
            </w:r>
          </w:p>
        </w:tc>
        <w:tc>
          <w:tcPr>
            <w:tcW w:w="1087" w:type="dxa"/>
            <w:shd w:val="clear" w:color="auto" w:fill="FFFFFF"/>
            <w:tcMar>
              <w:top w:w="60" w:type="dxa"/>
              <w:left w:w="100" w:type="dxa"/>
              <w:bottom w:w="60" w:type="dxa"/>
              <w:right w:w="100" w:type="dxa"/>
            </w:tcMar>
            <w:vAlign w:val="center"/>
          </w:tcPr>
          <w:p w14:paraId="39F46B6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98.6%</w:t>
            </w:r>
          </w:p>
        </w:tc>
        <w:tc>
          <w:tcPr>
            <w:tcW w:w="1087" w:type="dxa"/>
            <w:shd w:val="clear" w:color="auto" w:fill="FFFFFF"/>
            <w:tcMar>
              <w:top w:w="60" w:type="dxa"/>
              <w:left w:w="100" w:type="dxa"/>
              <w:bottom w:w="60" w:type="dxa"/>
              <w:right w:w="100" w:type="dxa"/>
            </w:tcMar>
            <w:vAlign w:val="center"/>
          </w:tcPr>
          <w:p w14:paraId="70C9C66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2,763,599,103</w:t>
            </w:r>
          </w:p>
        </w:tc>
        <w:tc>
          <w:tcPr>
            <w:tcW w:w="1087" w:type="dxa"/>
            <w:shd w:val="clear" w:color="auto" w:fill="FFFFFF"/>
            <w:tcMar>
              <w:top w:w="60" w:type="dxa"/>
              <w:left w:w="100" w:type="dxa"/>
              <w:bottom w:w="60" w:type="dxa"/>
              <w:right w:w="100" w:type="dxa"/>
            </w:tcMar>
            <w:vAlign w:val="center"/>
          </w:tcPr>
          <w:p w14:paraId="07CE4CA5"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98.5%</w:t>
            </w:r>
          </w:p>
        </w:tc>
        <w:tc>
          <w:tcPr>
            <w:tcW w:w="1087" w:type="dxa"/>
            <w:shd w:val="clear" w:color="auto" w:fill="FFFFFF"/>
            <w:tcMar>
              <w:top w:w="60" w:type="dxa"/>
              <w:left w:w="100" w:type="dxa"/>
              <w:bottom w:w="60" w:type="dxa"/>
              <w:right w:w="100" w:type="dxa"/>
            </w:tcMar>
            <w:vAlign w:val="center"/>
          </w:tcPr>
          <w:p w14:paraId="105F11F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26,763,055</w:t>
            </w:r>
          </w:p>
        </w:tc>
        <w:tc>
          <w:tcPr>
            <w:tcW w:w="1089" w:type="dxa"/>
            <w:shd w:val="clear" w:color="auto" w:fill="FFFFFF"/>
            <w:tcMar>
              <w:top w:w="60" w:type="dxa"/>
              <w:left w:w="100" w:type="dxa"/>
              <w:bottom w:w="60" w:type="dxa"/>
              <w:right w:w="100" w:type="dxa"/>
            </w:tcMar>
            <w:vAlign w:val="center"/>
          </w:tcPr>
          <w:p w14:paraId="2A40D0C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r>
      <w:tr w:rsidR="00C7275F" w:rsidRPr="009D3648" w14:paraId="2F812F5B" w14:textId="77777777" w:rsidTr="00A7450A">
        <w:tblPrEx>
          <w:tblCellMar>
            <w:top w:w="0" w:type="dxa"/>
            <w:bottom w:w="0" w:type="dxa"/>
          </w:tblCellMar>
        </w:tblPrEx>
        <w:tc>
          <w:tcPr>
            <w:tcW w:w="4104" w:type="dxa"/>
            <w:tcBorders>
              <w:bottom w:val="single" w:sz="4" w:space="0" w:color="A6A6A6" w:themeColor="background1" w:themeShade="A6"/>
            </w:tcBorders>
            <w:shd w:val="clear" w:color="auto" w:fill="FFFFFF"/>
            <w:tcMar>
              <w:top w:w="60" w:type="dxa"/>
              <w:left w:w="100" w:type="dxa"/>
              <w:bottom w:w="60" w:type="dxa"/>
              <w:right w:w="100" w:type="dxa"/>
            </w:tcMar>
            <w:vAlign w:val="center"/>
          </w:tcPr>
          <w:p w14:paraId="2690B9CF"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amount and proportion of Taxonomy-aligned economic activities in the applicable KPI numerator</w:t>
            </w:r>
          </w:p>
        </w:tc>
        <w:tc>
          <w:tcPr>
            <w:tcW w:w="1086" w:type="dxa"/>
            <w:tcBorders>
              <w:bottom w:val="single" w:sz="4" w:space="0" w:color="A6A6A6" w:themeColor="background1" w:themeShade="A6"/>
            </w:tcBorders>
            <w:shd w:val="clear" w:color="auto" w:fill="FFFFFF"/>
            <w:tcMar>
              <w:top w:w="60" w:type="dxa"/>
              <w:left w:w="100" w:type="dxa"/>
              <w:bottom w:w="60" w:type="dxa"/>
              <w:right w:w="100" w:type="dxa"/>
            </w:tcMar>
            <w:vAlign w:val="center"/>
          </w:tcPr>
          <w:p w14:paraId="1934F41F"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2,831,254,814</w:t>
            </w:r>
          </w:p>
        </w:tc>
        <w:tc>
          <w:tcPr>
            <w:tcW w:w="1087" w:type="dxa"/>
            <w:tcBorders>
              <w:bottom w:val="single" w:sz="4" w:space="0" w:color="A6A6A6" w:themeColor="background1" w:themeShade="A6"/>
            </w:tcBorders>
            <w:shd w:val="clear" w:color="auto" w:fill="FFFFFF"/>
            <w:tcMar>
              <w:top w:w="60" w:type="dxa"/>
              <w:left w:w="100" w:type="dxa"/>
              <w:bottom w:w="60" w:type="dxa"/>
              <w:right w:w="100" w:type="dxa"/>
            </w:tcMar>
            <w:vAlign w:val="center"/>
          </w:tcPr>
          <w:p w14:paraId="1F860C6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1087" w:type="dxa"/>
            <w:tcBorders>
              <w:bottom w:val="single" w:sz="4" w:space="0" w:color="A6A6A6" w:themeColor="background1" w:themeShade="A6"/>
            </w:tcBorders>
            <w:shd w:val="clear" w:color="auto" w:fill="FFFFFF"/>
            <w:tcMar>
              <w:top w:w="60" w:type="dxa"/>
              <w:left w:w="100" w:type="dxa"/>
              <w:bottom w:w="60" w:type="dxa"/>
              <w:right w:w="100" w:type="dxa"/>
            </w:tcMar>
            <w:vAlign w:val="center"/>
          </w:tcPr>
          <w:p w14:paraId="7496754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2,804,491,759</w:t>
            </w:r>
          </w:p>
        </w:tc>
        <w:tc>
          <w:tcPr>
            <w:tcW w:w="1087" w:type="dxa"/>
            <w:tcBorders>
              <w:bottom w:val="single" w:sz="4" w:space="0" w:color="A6A6A6" w:themeColor="background1" w:themeShade="A6"/>
            </w:tcBorders>
            <w:shd w:val="clear" w:color="auto" w:fill="FFFFFF"/>
            <w:tcMar>
              <w:top w:w="60" w:type="dxa"/>
              <w:left w:w="100" w:type="dxa"/>
              <w:bottom w:w="60" w:type="dxa"/>
              <w:right w:w="100" w:type="dxa"/>
            </w:tcMar>
            <w:vAlign w:val="center"/>
          </w:tcPr>
          <w:p w14:paraId="4B1EF96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1087" w:type="dxa"/>
            <w:tcBorders>
              <w:bottom w:val="single" w:sz="4" w:space="0" w:color="A6A6A6" w:themeColor="background1" w:themeShade="A6"/>
            </w:tcBorders>
            <w:shd w:val="clear" w:color="auto" w:fill="FFFFFF"/>
            <w:tcMar>
              <w:top w:w="60" w:type="dxa"/>
              <w:left w:w="100" w:type="dxa"/>
              <w:bottom w:w="60" w:type="dxa"/>
              <w:right w:w="100" w:type="dxa"/>
            </w:tcMar>
            <w:vAlign w:val="center"/>
          </w:tcPr>
          <w:p w14:paraId="7E534DD1"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26,763,055</w:t>
            </w:r>
          </w:p>
        </w:tc>
        <w:tc>
          <w:tcPr>
            <w:tcW w:w="1089" w:type="dxa"/>
            <w:tcBorders>
              <w:bottom w:val="single" w:sz="4" w:space="0" w:color="A6A6A6" w:themeColor="background1" w:themeShade="A6"/>
            </w:tcBorders>
            <w:shd w:val="clear" w:color="auto" w:fill="FFFFFF"/>
            <w:tcMar>
              <w:top w:w="60" w:type="dxa"/>
              <w:left w:w="100" w:type="dxa"/>
              <w:bottom w:w="60" w:type="dxa"/>
              <w:right w:w="100" w:type="dxa"/>
            </w:tcMar>
            <w:vAlign w:val="center"/>
          </w:tcPr>
          <w:p w14:paraId="5CDD43DC"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r>
      <w:tr w:rsidR="00A7450A" w:rsidRPr="009D3648" w14:paraId="4C8EE54C"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0A7FF141"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lastRenderedPageBreak/>
              <w:t>Economic activities</w:t>
            </w:r>
          </w:p>
        </w:tc>
        <w:tc>
          <w:tcPr>
            <w:tcW w:w="652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6957135E"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CAPEX 2025</w:t>
            </w:r>
          </w:p>
        </w:tc>
      </w:tr>
      <w:tr w:rsidR="00A7450A" w:rsidRPr="009D3648" w14:paraId="7163ED44"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20FF80E2" w14:textId="77777777" w:rsidR="00A7450A" w:rsidRPr="009D3648" w:rsidRDefault="00A7450A">
            <w:pPr>
              <w:jc w:val="center"/>
              <w:rPr>
                <w:rFonts w:ascii="Calibri" w:hAnsi="Calibri" w:cs="Calibri"/>
                <w:sz w:val="22"/>
                <w:szCs w:val="22"/>
                <w:lang w:val="en-GB"/>
              </w:rPr>
            </w:pPr>
          </w:p>
        </w:tc>
        <w:tc>
          <w:tcPr>
            <w:tcW w:w="652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050023A4"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 and proportion (information to be presented in monetary amount and percentage)</w:t>
            </w:r>
          </w:p>
        </w:tc>
      </w:tr>
      <w:tr w:rsidR="00A7450A" w:rsidRPr="009D3648" w14:paraId="2E228554"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21924DBB" w14:textId="77777777" w:rsidR="00A7450A" w:rsidRPr="009D3648" w:rsidRDefault="00A7450A">
            <w:pPr>
              <w:jc w:val="center"/>
              <w:rPr>
                <w:rFonts w:ascii="Calibri" w:hAnsi="Calibri" w:cs="Calibri"/>
                <w:sz w:val="22"/>
                <w:szCs w:val="22"/>
                <w:lang w:val="en-GB"/>
              </w:rPr>
            </w:pPr>
          </w:p>
        </w:tc>
        <w:tc>
          <w:tcPr>
            <w:tcW w:w="217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04BCB483"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CCM + CCA</w:t>
            </w:r>
          </w:p>
        </w:tc>
        <w:tc>
          <w:tcPr>
            <w:tcW w:w="217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5665B432"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mitigation (CCM)</w:t>
            </w:r>
          </w:p>
        </w:tc>
        <w:tc>
          <w:tcPr>
            <w:tcW w:w="21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16BEBB42"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adaptation (CCA)</w:t>
            </w:r>
          </w:p>
        </w:tc>
      </w:tr>
      <w:tr w:rsidR="00A7450A" w:rsidRPr="009D3648" w14:paraId="00E2423A"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7D61C3C0" w14:textId="77777777" w:rsidR="00A7450A" w:rsidRPr="009D3648" w:rsidRDefault="00A7450A">
            <w:pPr>
              <w:jc w:val="center"/>
              <w:rPr>
                <w:rFonts w:ascii="Calibri" w:hAnsi="Calibri" w:cs="Calibri"/>
                <w:sz w:val="22"/>
                <w:szCs w:val="22"/>
                <w:lang w:val="en-GB"/>
              </w:rPr>
            </w:pP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2A9F8D98"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4607C8F9"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33B5E09C"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63768694"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5515C7A9"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3F998DD0"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r>
      <w:tr w:rsidR="00C7275F" w:rsidRPr="009D3648" w14:paraId="259755CE"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3136080"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4.26 of Annexes I and II to Delegated Regulation (EU) 2021/2139 in the applicable KPI numerator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969AF2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671F17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C48BEC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DCAB88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51532D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94C0CE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4FA3AF48"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9C3848C"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4.27 of Annexes I and II to Delegated Regulation (EU) 2021/2139 in the applicable KPI numerator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CC0B7F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6,851,715</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85F498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0.2%</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A950AC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6,851,715</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2CC21E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0.2%</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C3C928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ACEEE9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04EA4F46"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5883F3D"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4.28 of Annexes I and II to Delegated Regulation (EU) 2021/2139 in the applicable KPI numerator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6EED81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22,694,668</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3E47E0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0.7%</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FC4FCE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22,694,668</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326589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0.7%</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122A28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8C1FBE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294123C1"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BEFEF4C"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4.29 of Annexes I and II to Delegated Regulation (EU) 2021/2139 in the applicable KPI numerator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EBBF94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53,739</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C57A56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9718DF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53,739</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45F973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2380C9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B46E16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13992C7E"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305619B"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4.30 of Annexes I and II to Delegated Regulation (EU) 2021/2139 in the applicable KPI numerator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07E3D8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5,254,749</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60AD25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0.2%</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834F25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5,254,748</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2426C3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0.2%</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93E6E0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w:t>
            </w:r>
          </w:p>
        </w:tc>
        <w:tc>
          <w:tcPr>
            <w:tcW w:w="10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B1083B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2AAECC65"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64C95AB"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4.31 of Annexes I and II to Delegated Regulation (EU) 2021/2139 in the applicable KPI numerator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316AE4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295,198</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8293FB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17F6DC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295,198</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0A2907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78D92D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D46A82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471BEF89"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EE416CF"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Amount and proportion of other Taxonomy-aligned economic activities not referred to in rows 1 to 6 above in the applicable KPI numerator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F4BCE0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3,437,232,099</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A2CB42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99.0%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008C198"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3,425,277,059</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AF7B45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99.0%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BCD67EF"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11,955,041</w:t>
            </w:r>
          </w:p>
        </w:tc>
        <w:tc>
          <w:tcPr>
            <w:tcW w:w="10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21913D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r>
      <w:tr w:rsidR="00C7275F" w:rsidRPr="009D3648" w14:paraId="0A92C6DD" w14:textId="77777777" w:rsidTr="00A74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41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5C12421"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amount and proportion of Taxonomy-aligned economic activities in the applicable KPI numerator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D93B2CC"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3,472,382,168</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63F076A"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B0C360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3,460,427,127</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E81F0E0"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A02BA03"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11,955,041</w:t>
            </w:r>
          </w:p>
        </w:tc>
        <w:tc>
          <w:tcPr>
            <w:tcW w:w="10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5A6C9A7"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r>
    </w:tbl>
    <w:p w14:paraId="3BE3D2CB" w14:textId="77777777" w:rsidR="00C7275F" w:rsidRPr="009D3648" w:rsidRDefault="00C7275F">
      <w:pPr>
        <w:rPr>
          <w:rFonts w:ascii="Calibri" w:hAnsi="Calibri" w:cs="Calibri"/>
          <w:sz w:val="22"/>
          <w:szCs w:val="22"/>
          <w:lang w:val="en-GB"/>
        </w:rPr>
      </w:pPr>
    </w:p>
    <w:p w14:paraId="7D3E3282" w14:textId="77777777" w:rsidR="00A7450A" w:rsidRDefault="00A7450A">
      <w:pPr>
        <w:rPr>
          <w:rFonts w:ascii="Calibri" w:hAnsi="Calibri" w:cs="Calibri"/>
          <w:b/>
          <w:bCs/>
          <w:sz w:val="22"/>
          <w:szCs w:val="22"/>
          <w:lang w:val="en-GB"/>
        </w:rPr>
      </w:pPr>
      <w:r>
        <w:rPr>
          <w:rFonts w:ascii="Calibri" w:hAnsi="Calibri" w:cs="Calibri"/>
          <w:b/>
          <w:bCs/>
          <w:sz w:val="22"/>
          <w:szCs w:val="22"/>
          <w:lang w:val="en-GB"/>
        </w:rPr>
        <w:br w:type="page"/>
      </w:r>
    </w:p>
    <w:p w14:paraId="2E1A8CAA" w14:textId="4E891D84" w:rsidR="00C7275F" w:rsidRPr="009D3648" w:rsidRDefault="00932CE0">
      <w:pPr>
        <w:spacing w:before="200" w:after="100"/>
        <w:rPr>
          <w:rFonts w:ascii="Calibri" w:hAnsi="Calibri" w:cs="Calibri"/>
          <w:sz w:val="22"/>
          <w:szCs w:val="22"/>
          <w:lang w:val="en-GB"/>
        </w:rPr>
      </w:pPr>
      <w:r w:rsidRPr="009D3648">
        <w:rPr>
          <w:rFonts w:ascii="Calibri" w:hAnsi="Calibri" w:cs="Calibri"/>
          <w:b/>
          <w:bCs/>
          <w:sz w:val="22"/>
          <w:szCs w:val="22"/>
          <w:lang w:val="en-GB"/>
        </w:rPr>
        <w:lastRenderedPageBreak/>
        <w:t>TAXO-KPI-Invest-Tab4 – Template 4 relating to Taxonomy-eligible but not Taxonomy-aligned activities</w:t>
      </w:r>
    </w:p>
    <w:p w14:paraId="4B932435" w14:textId="77777777" w:rsidR="00C7275F" w:rsidRPr="009D3648" w:rsidRDefault="00932CE0">
      <w:pPr>
        <w:spacing w:before="120" w:after="60"/>
        <w:rPr>
          <w:rFonts w:ascii="Calibri" w:hAnsi="Calibri" w:cs="Calibri"/>
          <w:sz w:val="22"/>
          <w:szCs w:val="22"/>
          <w:lang w:val="en-GB"/>
        </w:rPr>
      </w:pPr>
      <w:r w:rsidRPr="009D3648">
        <w:rPr>
          <w:rFonts w:ascii="Calibri" w:hAnsi="Calibri" w:cs="Calibri"/>
          <w:b/>
          <w:bCs/>
          <w:i/>
          <w:iCs/>
          <w:sz w:val="22"/>
          <w:szCs w:val="22"/>
          <w:lang w:val="en-GB"/>
        </w:rPr>
        <w:t>Turnover 2025</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15"/>
        <w:gridCol w:w="973"/>
        <w:gridCol w:w="964"/>
        <w:gridCol w:w="9"/>
        <w:gridCol w:w="973"/>
        <w:gridCol w:w="955"/>
        <w:gridCol w:w="18"/>
        <w:gridCol w:w="973"/>
        <w:gridCol w:w="947"/>
      </w:tblGrid>
      <w:tr w:rsidR="00A7450A" w:rsidRPr="009D3648" w14:paraId="3F0812C5" w14:textId="77777777" w:rsidTr="00AF1287">
        <w:tblPrEx>
          <w:tblCellMar>
            <w:top w:w="0" w:type="dxa"/>
            <w:bottom w:w="0" w:type="dxa"/>
          </w:tblCellMar>
        </w:tblPrEx>
        <w:tc>
          <w:tcPr>
            <w:tcW w:w="481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66E0E5E9"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Economic activities</w:t>
            </w:r>
          </w:p>
        </w:tc>
        <w:tc>
          <w:tcPr>
            <w:tcW w:w="5812"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5CE1019F"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TURNOVER 2025</w:t>
            </w:r>
          </w:p>
        </w:tc>
      </w:tr>
      <w:tr w:rsidR="00A7450A" w:rsidRPr="009D3648" w14:paraId="3609E6B6" w14:textId="77777777" w:rsidTr="00AF1287">
        <w:tblPrEx>
          <w:tblCellMar>
            <w:top w:w="0" w:type="dxa"/>
            <w:bottom w:w="0" w:type="dxa"/>
          </w:tblCellMar>
        </w:tblPrEx>
        <w:tc>
          <w:tcPr>
            <w:tcW w:w="481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33C4D986" w14:textId="77777777" w:rsidR="00A7450A" w:rsidRPr="009D3648" w:rsidRDefault="00A7450A">
            <w:pPr>
              <w:jc w:val="center"/>
              <w:rPr>
                <w:rFonts w:ascii="Calibri" w:hAnsi="Calibri" w:cs="Calibri"/>
                <w:sz w:val="22"/>
                <w:szCs w:val="22"/>
                <w:lang w:val="en-GB"/>
              </w:rPr>
            </w:pPr>
          </w:p>
        </w:tc>
        <w:tc>
          <w:tcPr>
            <w:tcW w:w="5812"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21D9A7DF"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 and proportion (information to be presented in monetary amount and percentage)</w:t>
            </w:r>
          </w:p>
        </w:tc>
      </w:tr>
      <w:tr w:rsidR="00A7450A" w:rsidRPr="009D3648" w14:paraId="10233751" w14:textId="77777777" w:rsidTr="00AF1287">
        <w:tblPrEx>
          <w:tblCellMar>
            <w:top w:w="0" w:type="dxa"/>
            <w:bottom w:w="0" w:type="dxa"/>
          </w:tblCellMar>
        </w:tblPrEx>
        <w:tc>
          <w:tcPr>
            <w:tcW w:w="481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34E49FA5" w14:textId="77777777" w:rsidR="00A7450A" w:rsidRPr="009D3648" w:rsidRDefault="00A7450A">
            <w:pPr>
              <w:jc w:val="center"/>
              <w:rPr>
                <w:rFonts w:ascii="Calibri" w:hAnsi="Calibri" w:cs="Calibri"/>
                <w:sz w:val="22"/>
                <w:szCs w:val="22"/>
                <w:lang w:val="en-GB"/>
              </w:rPr>
            </w:pPr>
          </w:p>
        </w:tc>
        <w:tc>
          <w:tcPr>
            <w:tcW w:w="193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41CD5A61"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CCM + CCA</w:t>
            </w:r>
          </w:p>
        </w:tc>
        <w:tc>
          <w:tcPr>
            <w:tcW w:w="193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E11021E"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mitigation (CCM)</w:t>
            </w:r>
          </w:p>
        </w:tc>
        <w:tc>
          <w:tcPr>
            <w:tcW w:w="193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6D8B32A8"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adaptation (CCA)</w:t>
            </w:r>
          </w:p>
        </w:tc>
      </w:tr>
      <w:tr w:rsidR="00A7450A" w:rsidRPr="009D3648" w14:paraId="3E348835" w14:textId="77777777" w:rsidTr="00AF1287">
        <w:tblPrEx>
          <w:tblCellMar>
            <w:top w:w="0" w:type="dxa"/>
            <w:bottom w:w="0" w:type="dxa"/>
          </w:tblCellMar>
        </w:tblPrEx>
        <w:tc>
          <w:tcPr>
            <w:tcW w:w="481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320DE1A3" w14:textId="77777777" w:rsidR="00A7450A" w:rsidRPr="009D3648" w:rsidRDefault="00A7450A">
            <w:pPr>
              <w:jc w:val="center"/>
              <w:rPr>
                <w:rFonts w:ascii="Calibri" w:hAnsi="Calibri" w:cs="Calibri"/>
                <w:sz w:val="22"/>
                <w:szCs w:val="22"/>
                <w:lang w:val="en-GB"/>
              </w:rPr>
            </w:pP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5996016E"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6AC1C348"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266D97B2"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556148C7"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1031CE37"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61C0D83D" w14:textId="77777777" w:rsidR="00A7450A" w:rsidRPr="009D3648" w:rsidRDefault="00A7450A">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r>
      <w:tr w:rsidR="00C7275F" w:rsidRPr="009D3648" w14:paraId="7601428C" w14:textId="77777777" w:rsidTr="00AF1287">
        <w:tblPrEx>
          <w:tblCellMar>
            <w:top w:w="0" w:type="dxa"/>
            <w:bottom w:w="0" w:type="dxa"/>
          </w:tblCellMar>
        </w:tblPrEx>
        <w:tc>
          <w:tcPr>
            <w:tcW w:w="48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05A3040"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4.26 of Annexes I and II to Delegated Regulation (EU) 2021/2139 in the applicable KPI denominator</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EF9B64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42,998</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CD3AAD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F4F21C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42,998</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9CE9C9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65A1E8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A51FA6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3C3FFA54" w14:textId="77777777" w:rsidTr="00AF1287">
        <w:tblPrEx>
          <w:tblCellMar>
            <w:top w:w="0" w:type="dxa"/>
            <w:bottom w:w="0" w:type="dxa"/>
          </w:tblCellMar>
        </w:tblPrEx>
        <w:tc>
          <w:tcPr>
            <w:tcW w:w="48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962E6FA"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4.27 of Annexes I and II to Delegated Regulation (EU) 2021/2139 in the applicable KPI denominator</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243D0D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81,126</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EB0E2D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2FC08A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81,126</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9E5F79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65849C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4131CA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73A0B765" w14:textId="77777777" w:rsidTr="00AF1287">
        <w:tblPrEx>
          <w:tblCellMar>
            <w:top w:w="0" w:type="dxa"/>
            <w:bottom w:w="0" w:type="dxa"/>
          </w:tblCellMar>
        </w:tblPrEx>
        <w:tc>
          <w:tcPr>
            <w:tcW w:w="48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D734E6A"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4.28 of Annexes I and II to Delegated Regulation (EU) 2021/2139 in the applicable KPI denominator</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B9439E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207,471</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07E6DC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D46EFE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207,471</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56DF44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6419B6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DF3235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1501342C" w14:textId="77777777" w:rsidTr="00AF1287">
        <w:tblPrEx>
          <w:tblCellMar>
            <w:top w:w="0" w:type="dxa"/>
            <w:bottom w:w="0" w:type="dxa"/>
          </w:tblCellMar>
        </w:tblPrEx>
        <w:tc>
          <w:tcPr>
            <w:tcW w:w="48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7A88D68"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4.29 of Annexes I and II to Delegated Regulation (EU) 2021/2139 in the applicable KPI denominator</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845C86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37,178,922</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82576A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0.3%</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046963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37,178,922</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EFDFE9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0.3%</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11BF62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8BF7BE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26CBA9D1" w14:textId="77777777" w:rsidTr="00AF1287">
        <w:tblPrEx>
          <w:tblCellMar>
            <w:top w:w="0" w:type="dxa"/>
            <w:bottom w:w="0" w:type="dxa"/>
          </w:tblCellMar>
        </w:tblPrEx>
        <w:tc>
          <w:tcPr>
            <w:tcW w:w="48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A3B3AFF"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4.30 of Annexes I and II to Delegated Regulation (EU) 2021/2139 in the applicable KPI denominator</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D533F9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DBCA1A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893983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142F6C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103169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E86DCA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0D6F1B13" w14:textId="77777777" w:rsidTr="00AF1287">
        <w:tblPrEx>
          <w:tblCellMar>
            <w:top w:w="0" w:type="dxa"/>
            <w:bottom w:w="0" w:type="dxa"/>
          </w:tblCellMar>
        </w:tblPrEx>
        <w:tc>
          <w:tcPr>
            <w:tcW w:w="48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E3E84C6"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4.31 of Annexes I and II to Delegated Regulation (EU) 2021/2139 in the applicable KPI denominator</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F78959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367,810</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00EBC6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05ECEC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367,810</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030735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DC5315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1037A1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6362059C" w14:textId="77777777" w:rsidTr="00AF1287">
        <w:tblPrEx>
          <w:tblCellMar>
            <w:top w:w="0" w:type="dxa"/>
            <w:bottom w:w="0" w:type="dxa"/>
          </w:tblCellMar>
        </w:tblPrEx>
        <w:tc>
          <w:tcPr>
            <w:tcW w:w="48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A6E5827"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Amount and proportion of other Taxonomy-aligned economic activities not referred to in rows 1 to 6 above in the applicable KPI denominator</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638CF78"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14,470,825,856</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C7C1FCF"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99.7%</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0DD33B9"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14,470,825,856</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1160CD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99.7%</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5F826C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0</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BF50F8A"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0.0%</w:t>
            </w:r>
          </w:p>
        </w:tc>
      </w:tr>
      <w:tr w:rsidR="00C7275F" w:rsidRPr="009D3648" w14:paraId="12C5D90E" w14:textId="77777777" w:rsidTr="00AF1287">
        <w:tblPrEx>
          <w:tblCellMar>
            <w:top w:w="0" w:type="dxa"/>
            <w:bottom w:w="0" w:type="dxa"/>
          </w:tblCellMar>
        </w:tblPrEx>
        <w:tc>
          <w:tcPr>
            <w:tcW w:w="481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27E21C4"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amount and proportion of Taxonomy-eligible but not Taxonomy-aligned economic activities in the applicable KPI denominator</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BE22BD9"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14,508,704,184</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EB9274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023D989"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14,508,704,184</w:t>
            </w:r>
          </w:p>
        </w:tc>
        <w:tc>
          <w:tcPr>
            <w:tcW w:w="97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A5D05F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DBB444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0</w:t>
            </w:r>
          </w:p>
        </w:tc>
        <w:tc>
          <w:tcPr>
            <w:tcW w:w="9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4372651"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0.0%</w:t>
            </w:r>
          </w:p>
        </w:tc>
      </w:tr>
    </w:tbl>
    <w:p w14:paraId="4B24A994" w14:textId="4BD66C19" w:rsidR="00AF1287" w:rsidRDefault="00AF1287">
      <w:pPr>
        <w:rPr>
          <w:rFonts w:ascii="Calibri" w:hAnsi="Calibri" w:cs="Calibri"/>
          <w:sz w:val="22"/>
          <w:szCs w:val="22"/>
          <w:lang w:val="en-GB"/>
        </w:rPr>
      </w:pPr>
    </w:p>
    <w:p w14:paraId="7BFDD345" w14:textId="77777777" w:rsidR="00AF1287" w:rsidRDefault="00AF1287">
      <w:pPr>
        <w:rPr>
          <w:rFonts w:ascii="Calibri" w:hAnsi="Calibri" w:cs="Calibri"/>
          <w:sz w:val="22"/>
          <w:szCs w:val="22"/>
          <w:lang w:val="en-GB"/>
        </w:rPr>
      </w:pPr>
      <w:r>
        <w:rPr>
          <w:rFonts w:ascii="Calibri" w:hAnsi="Calibri" w:cs="Calibri"/>
          <w:sz w:val="22"/>
          <w:szCs w:val="22"/>
          <w:lang w:val="en-GB"/>
        </w:rPr>
        <w:br w:type="page"/>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05"/>
        <w:gridCol w:w="1087"/>
        <w:gridCol w:w="1087"/>
        <w:gridCol w:w="1087"/>
        <w:gridCol w:w="1087"/>
        <w:gridCol w:w="1087"/>
        <w:gridCol w:w="1087"/>
      </w:tblGrid>
      <w:tr w:rsidR="00AF1287" w:rsidRPr="009D3648" w14:paraId="757729BD" w14:textId="77777777" w:rsidTr="00AF1287">
        <w:tblPrEx>
          <w:tblCellMar>
            <w:top w:w="0" w:type="dxa"/>
            <w:bottom w:w="0" w:type="dxa"/>
          </w:tblCellMar>
        </w:tblPrEx>
        <w:tc>
          <w:tcPr>
            <w:tcW w:w="410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52BCF93D"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lastRenderedPageBreak/>
              <w:t>Economic activities</w:t>
            </w:r>
          </w:p>
        </w:tc>
        <w:tc>
          <w:tcPr>
            <w:tcW w:w="652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36B2691C"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CAPEX 2025</w:t>
            </w:r>
          </w:p>
        </w:tc>
      </w:tr>
      <w:tr w:rsidR="00AF1287" w:rsidRPr="009D3648" w14:paraId="095D04F1" w14:textId="77777777" w:rsidTr="00AF1287">
        <w:tblPrEx>
          <w:tblCellMar>
            <w:top w:w="0" w:type="dxa"/>
            <w:bottom w:w="0" w:type="dxa"/>
          </w:tblCellMar>
        </w:tblPrEx>
        <w:tc>
          <w:tcPr>
            <w:tcW w:w="41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7893E4E" w14:textId="77777777" w:rsidR="00AF1287" w:rsidRPr="009D3648" w:rsidRDefault="00AF1287">
            <w:pPr>
              <w:jc w:val="center"/>
              <w:rPr>
                <w:rFonts w:ascii="Calibri" w:hAnsi="Calibri" w:cs="Calibri"/>
                <w:sz w:val="22"/>
                <w:szCs w:val="22"/>
                <w:lang w:val="en-GB"/>
              </w:rPr>
            </w:pPr>
          </w:p>
        </w:tc>
        <w:tc>
          <w:tcPr>
            <w:tcW w:w="652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67281FE8"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Amount and proportion (information to be presented in monetary amount and percentage)</w:t>
            </w:r>
          </w:p>
        </w:tc>
      </w:tr>
      <w:tr w:rsidR="00AF1287" w:rsidRPr="009D3648" w14:paraId="4EAE0FFB" w14:textId="77777777" w:rsidTr="00AF1287">
        <w:tblPrEx>
          <w:tblCellMar>
            <w:top w:w="0" w:type="dxa"/>
            <w:bottom w:w="0" w:type="dxa"/>
          </w:tblCellMar>
        </w:tblPrEx>
        <w:tc>
          <w:tcPr>
            <w:tcW w:w="41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5093361D" w14:textId="77777777" w:rsidR="00AF1287" w:rsidRPr="009D3648" w:rsidRDefault="00AF1287">
            <w:pPr>
              <w:jc w:val="center"/>
              <w:rPr>
                <w:rFonts w:ascii="Calibri" w:hAnsi="Calibri" w:cs="Calibri"/>
                <w:sz w:val="22"/>
                <w:szCs w:val="22"/>
                <w:lang w:val="en-GB"/>
              </w:rPr>
            </w:pPr>
          </w:p>
        </w:tc>
        <w:tc>
          <w:tcPr>
            <w:tcW w:w="217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3A8FE8F4"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CCM + CCA</w:t>
            </w:r>
          </w:p>
        </w:tc>
        <w:tc>
          <w:tcPr>
            <w:tcW w:w="217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3DE89A21"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mitigation (CCM)</w:t>
            </w:r>
          </w:p>
        </w:tc>
        <w:tc>
          <w:tcPr>
            <w:tcW w:w="217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1F6DB463"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Climate change adaptation (CCA)</w:t>
            </w:r>
          </w:p>
        </w:tc>
      </w:tr>
      <w:tr w:rsidR="00AF1287" w:rsidRPr="009D3648" w14:paraId="4AF818A9" w14:textId="77777777" w:rsidTr="00AF1287">
        <w:tblPrEx>
          <w:tblCellMar>
            <w:top w:w="0" w:type="dxa"/>
            <w:bottom w:w="0" w:type="dxa"/>
          </w:tblCellMar>
        </w:tblPrEx>
        <w:tc>
          <w:tcPr>
            <w:tcW w:w="41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06A7FE1B" w14:textId="77777777" w:rsidR="00AF1287" w:rsidRPr="009D3648" w:rsidRDefault="00AF1287">
            <w:pPr>
              <w:jc w:val="center"/>
              <w:rPr>
                <w:rFonts w:ascii="Calibri" w:hAnsi="Calibri" w:cs="Calibri"/>
                <w:sz w:val="22"/>
                <w:szCs w:val="22"/>
                <w:lang w:val="en-GB"/>
              </w:rPr>
            </w:pP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5CC1730"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31A29449"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451F7422"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62B71E5B"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26147961"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A813C6D"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r>
      <w:tr w:rsidR="00C7275F" w:rsidRPr="009D3648" w14:paraId="3944C858" w14:textId="77777777" w:rsidTr="00AF1287">
        <w:tblPrEx>
          <w:tblCellMar>
            <w:top w:w="0" w:type="dxa"/>
            <w:bottom w:w="0" w:type="dxa"/>
          </w:tblCellMar>
        </w:tblPrEx>
        <w:tc>
          <w:tcPr>
            <w:tcW w:w="41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AD6D700"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4.26 of Annexes I and II to Delegated Regulation (EU) 2021/2139 in the applicable KPI denominator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F02D90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13,166</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B4D3DC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D470F3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13,166</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A20C0B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58E551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062618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626221EC" w14:textId="77777777" w:rsidTr="00AF1287">
        <w:tblPrEx>
          <w:tblCellMar>
            <w:top w:w="0" w:type="dxa"/>
            <w:bottom w:w="0" w:type="dxa"/>
          </w:tblCellMar>
        </w:tblPrEx>
        <w:tc>
          <w:tcPr>
            <w:tcW w:w="41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EC6B050"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4.27 of Annexes I and II to Delegated Regulation (EU) 2021/2139 in the applicable KPI denominator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766A67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32,477</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80CB59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A9F289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32,477</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6E4EE5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7975B8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49E925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4496BE26" w14:textId="77777777" w:rsidTr="00AF1287">
        <w:tblPrEx>
          <w:tblCellMar>
            <w:top w:w="0" w:type="dxa"/>
            <w:bottom w:w="0" w:type="dxa"/>
          </w:tblCellMar>
        </w:tblPrEx>
        <w:tc>
          <w:tcPr>
            <w:tcW w:w="41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9BC4BA6"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4.28 of Annexes I and II to Delegated Regulation (EU) 2021/2139 in the applicable KPI denominator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7AF153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39,467</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2CEC19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0E6990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39,467</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9885D3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F6D7E2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68E1A6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6EEF0EAE" w14:textId="77777777" w:rsidTr="00AF1287">
        <w:tblPrEx>
          <w:tblCellMar>
            <w:top w:w="0" w:type="dxa"/>
            <w:bottom w:w="0" w:type="dxa"/>
          </w:tblCellMar>
        </w:tblPrEx>
        <w:tc>
          <w:tcPr>
            <w:tcW w:w="41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6099996"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4.29 of Annexes I and II to Delegated Regulation (EU) 2021/2139 in the applicable KPI denominator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955EAE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26,927,377</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02190D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0.2%</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2BE315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26,927,377</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576C68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0.2%</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8AAAAE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66BC19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636352A1" w14:textId="77777777" w:rsidTr="00AF1287">
        <w:tblPrEx>
          <w:tblCellMar>
            <w:top w:w="0" w:type="dxa"/>
            <w:bottom w:w="0" w:type="dxa"/>
          </w:tblCellMar>
        </w:tblPrEx>
        <w:tc>
          <w:tcPr>
            <w:tcW w:w="41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4130BF7"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4.30 of Annexes I and II to Delegated Regulation (EU) 2021/2139 in the applicable KPI denominator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9BEEC2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3,013,780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C7683D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9AB8EC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3,013,780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590C4A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DD41CA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D5BBCB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033FF2B6" w14:textId="77777777" w:rsidTr="00AF1287">
        <w:tblPrEx>
          <w:tblCellMar>
            <w:top w:w="0" w:type="dxa"/>
            <w:bottom w:w="0" w:type="dxa"/>
          </w:tblCellMar>
        </w:tblPrEx>
        <w:tc>
          <w:tcPr>
            <w:tcW w:w="41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465D363"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Taxonomy-aligned economic activity referred to in section 4.31 of Annexes I and II to Delegated Regulation (EU) 2021/2139 in the applicable KPI denominator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16B623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130,304</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FA2DAE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5B589D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130,304</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076F1D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E287B6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213F8E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107B4E63" w14:textId="77777777" w:rsidTr="00AF1287">
        <w:tblPrEx>
          <w:tblCellMar>
            <w:top w:w="0" w:type="dxa"/>
            <w:bottom w:w="0" w:type="dxa"/>
          </w:tblCellMar>
        </w:tblPrEx>
        <w:tc>
          <w:tcPr>
            <w:tcW w:w="41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74EE64A"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Amount and proportion of other Taxonomy-aligned economic activities not referred to in rows 1 to 6 above in the applicable KPI denominator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8E58B3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14,879,139,311</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91B7249"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99.8%</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CFC2D2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14,879,139,311</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15D8B8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99.8%</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CBDDF9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B380DE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0.0%</w:t>
            </w:r>
          </w:p>
        </w:tc>
      </w:tr>
      <w:tr w:rsidR="00C7275F" w:rsidRPr="009D3648" w14:paraId="5B37F030" w14:textId="77777777" w:rsidTr="00AF1287">
        <w:tblPrEx>
          <w:tblCellMar>
            <w:top w:w="0" w:type="dxa"/>
            <w:bottom w:w="0" w:type="dxa"/>
          </w:tblCellMar>
        </w:tblPrEx>
        <w:tc>
          <w:tcPr>
            <w:tcW w:w="41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57AE728"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amount and proportion of Taxonomy-eligible but not Taxonomy-aligned economic activities in the applicable KPI denominator</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702D667"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14,909,295,883</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2E80457"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9FB25B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14,909,295,883</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2E1D7F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D26CEFC"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0</w:t>
            </w:r>
          </w:p>
        </w:tc>
        <w:tc>
          <w:tcPr>
            <w:tcW w:w="10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4DF727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0.0%</w:t>
            </w:r>
          </w:p>
        </w:tc>
      </w:tr>
    </w:tbl>
    <w:p w14:paraId="0C0645EB" w14:textId="77777777" w:rsidR="00C7275F" w:rsidRPr="009D3648" w:rsidRDefault="00C7275F">
      <w:pPr>
        <w:rPr>
          <w:rFonts w:ascii="Calibri" w:hAnsi="Calibri" w:cs="Calibri"/>
          <w:sz w:val="22"/>
          <w:szCs w:val="22"/>
          <w:lang w:val="en-GB"/>
        </w:rPr>
      </w:pPr>
    </w:p>
    <w:p w14:paraId="67B51219" w14:textId="77777777" w:rsidR="00C7275F" w:rsidRPr="009D3648" w:rsidRDefault="00932CE0">
      <w:pPr>
        <w:spacing w:before="200" w:after="100"/>
        <w:rPr>
          <w:rFonts w:ascii="Calibri" w:hAnsi="Calibri" w:cs="Calibri"/>
          <w:sz w:val="22"/>
          <w:szCs w:val="22"/>
          <w:lang w:val="en-GB"/>
        </w:rPr>
      </w:pPr>
      <w:r w:rsidRPr="009D3648">
        <w:rPr>
          <w:rFonts w:ascii="Calibri" w:hAnsi="Calibri" w:cs="Calibri"/>
          <w:b/>
          <w:bCs/>
          <w:sz w:val="22"/>
          <w:szCs w:val="22"/>
          <w:lang w:val="en-GB"/>
        </w:rPr>
        <w:lastRenderedPageBreak/>
        <w:t>TAXO-KPI-Invest-Tab5 – Template 5 relating to Taxonomy-non-eligible activities</w:t>
      </w:r>
    </w:p>
    <w:tbl>
      <w:tblPr>
        <w:tblW w:w="10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520"/>
        <w:gridCol w:w="1555"/>
        <w:gridCol w:w="1555"/>
        <w:gridCol w:w="14"/>
      </w:tblGrid>
      <w:tr w:rsidR="00AF1287" w:rsidRPr="009D3648" w14:paraId="0CA41687" w14:textId="77777777" w:rsidTr="00AF1287">
        <w:tblPrEx>
          <w:tblCellMar>
            <w:top w:w="0" w:type="dxa"/>
            <w:bottom w:w="0" w:type="dxa"/>
          </w:tblCellMar>
        </w:tblPrEx>
        <w:tc>
          <w:tcPr>
            <w:tcW w:w="7520"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47558C7"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Economic activities</w:t>
            </w:r>
          </w:p>
        </w:tc>
        <w:tc>
          <w:tcPr>
            <w:tcW w:w="312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54DBBB0F"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TURNOVER 2025</w:t>
            </w:r>
          </w:p>
        </w:tc>
      </w:tr>
      <w:tr w:rsidR="00AF1287" w:rsidRPr="009D3648" w14:paraId="7B34B138" w14:textId="77777777" w:rsidTr="00AF1287">
        <w:tblPrEx>
          <w:tblCellMar>
            <w:top w:w="0" w:type="dxa"/>
            <w:bottom w:w="0" w:type="dxa"/>
          </w:tblCellMar>
        </w:tblPrEx>
        <w:trPr>
          <w:gridAfter w:val="1"/>
          <w:wAfter w:w="14" w:type="dxa"/>
        </w:trPr>
        <w:tc>
          <w:tcPr>
            <w:tcW w:w="7520"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0E00F7FC" w14:textId="77777777" w:rsidR="00AF1287" w:rsidRPr="009D3648" w:rsidRDefault="00AF1287">
            <w:pPr>
              <w:jc w:val="center"/>
              <w:rPr>
                <w:rFonts w:ascii="Calibri" w:hAnsi="Calibri" w:cs="Calibri"/>
                <w:sz w:val="22"/>
                <w:szCs w:val="22"/>
                <w:lang w:val="en-GB"/>
              </w:rPr>
            </w:pP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56364833"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B7CBB91"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r>
      <w:tr w:rsidR="00C7275F" w:rsidRPr="009D3648" w14:paraId="2671B2A5" w14:textId="77777777" w:rsidTr="00AF1287">
        <w:tblPrEx>
          <w:tblCellMar>
            <w:top w:w="0" w:type="dxa"/>
            <w:bottom w:w="0" w:type="dxa"/>
          </w:tblCellMar>
        </w:tblPrEx>
        <w:trPr>
          <w:gridAfter w:val="1"/>
          <w:wAfter w:w="14" w:type="dxa"/>
        </w:trPr>
        <w:tc>
          <w:tcPr>
            <w:tcW w:w="75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F7FA1D0"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economic activity referred to in row 1 of Template 1 that is not eligible for the Taxonomy, pursuant to section 4.26 of Annexes I and II to Delegated Regulation (EU) 2021/2139, in the applicable KPI denominator</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E6F74C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1,238,759</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4DF52A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416FB824" w14:textId="77777777" w:rsidTr="00AF1287">
        <w:tblPrEx>
          <w:tblCellMar>
            <w:top w:w="0" w:type="dxa"/>
            <w:bottom w:w="0" w:type="dxa"/>
          </w:tblCellMar>
        </w:tblPrEx>
        <w:trPr>
          <w:gridAfter w:val="1"/>
          <w:wAfter w:w="14" w:type="dxa"/>
        </w:trPr>
        <w:tc>
          <w:tcPr>
            <w:tcW w:w="75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2DF3AB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economic activity referred to in row 2 of Template 1 that is not eligible for the Taxonomy, pursuant to section 4.27 of Annexes I and II to Delegated Regulation (EU) 2021/2139, in the applicable KPI denominator</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8DC18A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280,468,387</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EA9C17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0.6%</w:t>
            </w:r>
          </w:p>
        </w:tc>
      </w:tr>
      <w:tr w:rsidR="00C7275F" w:rsidRPr="009D3648" w14:paraId="5FD83F1C" w14:textId="77777777" w:rsidTr="00AF1287">
        <w:tblPrEx>
          <w:tblCellMar>
            <w:top w:w="0" w:type="dxa"/>
            <w:bottom w:w="0" w:type="dxa"/>
          </w:tblCellMar>
        </w:tblPrEx>
        <w:trPr>
          <w:gridAfter w:val="1"/>
          <w:wAfter w:w="14" w:type="dxa"/>
        </w:trPr>
        <w:tc>
          <w:tcPr>
            <w:tcW w:w="75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5F8029C"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economic activity referred to in row 3 of Template 1 that is not eligible for the Taxonomy, pursuant to section 4.28 of Annexes I and II to Delegated Regulation (EU) 2021/2139, in the applicable KPI denominator</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6890A1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746,206,554</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254F21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1.6%</w:t>
            </w:r>
          </w:p>
        </w:tc>
      </w:tr>
      <w:tr w:rsidR="00C7275F" w:rsidRPr="009D3648" w14:paraId="01AAC86F" w14:textId="77777777" w:rsidTr="00AF1287">
        <w:tblPrEx>
          <w:tblCellMar>
            <w:top w:w="0" w:type="dxa"/>
            <w:bottom w:w="0" w:type="dxa"/>
          </w:tblCellMar>
        </w:tblPrEx>
        <w:trPr>
          <w:gridAfter w:val="1"/>
          <w:wAfter w:w="14" w:type="dxa"/>
        </w:trPr>
        <w:tc>
          <w:tcPr>
            <w:tcW w:w="75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5F9FE73"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economic activity referred to in row 4 of Template 1 that is not eligible for the Taxonomy, pursuant to section 4.29 of Annexes I and II to Delegated Regulation (EU) 2021/2139, in the applicable KPI denominator</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2A33D1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1,130,806,463</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B6CA2B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2.4%</w:t>
            </w:r>
          </w:p>
        </w:tc>
      </w:tr>
      <w:tr w:rsidR="00C7275F" w:rsidRPr="009D3648" w14:paraId="5EC2541B" w14:textId="77777777" w:rsidTr="00AF1287">
        <w:tblPrEx>
          <w:tblCellMar>
            <w:top w:w="0" w:type="dxa"/>
            <w:bottom w:w="0" w:type="dxa"/>
          </w:tblCellMar>
        </w:tblPrEx>
        <w:trPr>
          <w:gridAfter w:val="1"/>
          <w:wAfter w:w="14" w:type="dxa"/>
        </w:trPr>
        <w:tc>
          <w:tcPr>
            <w:tcW w:w="75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FD7F32A"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economic activity referred to in row 5 of Template 1 that is not eligible for the Taxonomy, pursuant to section 4.30 of Annexes I and II to Delegated Regulation (EU) 2021/2139, in the applicable KPI denominator</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A98458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721,628,608</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EAF865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1.5%</w:t>
            </w:r>
          </w:p>
        </w:tc>
      </w:tr>
      <w:tr w:rsidR="00C7275F" w:rsidRPr="009D3648" w14:paraId="3CB6E3A0" w14:textId="77777777" w:rsidTr="00AF1287">
        <w:tblPrEx>
          <w:tblCellMar>
            <w:top w:w="0" w:type="dxa"/>
            <w:bottom w:w="0" w:type="dxa"/>
          </w:tblCellMar>
        </w:tblPrEx>
        <w:trPr>
          <w:gridAfter w:val="1"/>
          <w:wAfter w:w="14" w:type="dxa"/>
        </w:trPr>
        <w:tc>
          <w:tcPr>
            <w:tcW w:w="75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021842C"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economic activity referred to in row 6 of Template 1 that is not eligible for the Taxonomy, pursuant to section 4.31 of Annexes I and II to Delegated Regulation (EU) 2021/2139, in the applicable KPI denominator</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0D8693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950,944,445</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9487B8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2.0%</w:t>
            </w:r>
          </w:p>
        </w:tc>
      </w:tr>
      <w:tr w:rsidR="00C7275F" w:rsidRPr="009D3648" w14:paraId="325A7CF3" w14:textId="77777777" w:rsidTr="00AF1287">
        <w:tblPrEx>
          <w:tblCellMar>
            <w:top w:w="0" w:type="dxa"/>
            <w:bottom w:w="0" w:type="dxa"/>
          </w:tblCellMar>
        </w:tblPrEx>
        <w:trPr>
          <w:gridAfter w:val="1"/>
          <w:wAfter w:w="14" w:type="dxa"/>
        </w:trPr>
        <w:tc>
          <w:tcPr>
            <w:tcW w:w="75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F473559"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Amount and proportion of other Taxonomy-non-eligible economic activities not referred to in rows 1 to 6 above in the applicable KPI denominator</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9D66CBF"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42,793,494,758</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216DE4A"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91.8%</w:t>
            </w:r>
          </w:p>
        </w:tc>
      </w:tr>
      <w:tr w:rsidR="00C7275F" w:rsidRPr="009D3648" w14:paraId="526C63CC" w14:textId="77777777" w:rsidTr="00AF1287">
        <w:tblPrEx>
          <w:tblCellMar>
            <w:top w:w="0" w:type="dxa"/>
            <w:bottom w:w="0" w:type="dxa"/>
          </w:tblCellMar>
        </w:tblPrEx>
        <w:trPr>
          <w:gridAfter w:val="1"/>
          <w:wAfter w:w="14" w:type="dxa"/>
        </w:trPr>
        <w:tc>
          <w:tcPr>
            <w:tcW w:w="75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478355E"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amount and proportion of Taxonomy-non-eligible economic activities in the applicable KPI denominator</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2A42EB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46,624,787,975</w:t>
            </w:r>
          </w:p>
        </w:tc>
        <w:tc>
          <w:tcPr>
            <w:tcW w:w="15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FA1EF77"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r>
    </w:tbl>
    <w:p w14:paraId="233D7276" w14:textId="77777777" w:rsidR="00C7275F" w:rsidRPr="009D3648" w:rsidRDefault="00C7275F">
      <w:pPr>
        <w:rPr>
          <w:rFonts w:ascii="Calibri" w:hAnsi="Calibri" w:cs="Calibri"/>
          <w:sz w:val="22"/>
          <w:szCs w:val="22"/>
          <w:lang w:val="en-GB"/>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548"/>
        <w:gridCol w:w="1584"/>
        <w:gridCol w:w="1495"/>
      </w:tblGrid>
      <w:tr w:rsidR="00AF1287" w:rsidRPr="009D3648" w14:paraId="14300178" w14:textId="77777777" w:rsidTr="00AF1287">
        <w:tblPrEx>
          <w:tblCellMar>
            <w:top w:w="0" w:type="dxa"/>
            <w:bottom w:w="0" w:type="dxa"/>
          </w:tblCellMar>
        </w:tblPrEx>
        <w:tc>
          <w:tcPr>
            <w:tcW w:w="7548"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1051440A"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Economic activities</w:t>
            </w:r>
          </w:p>
        </w:tc>
        <w:tc>
          <w:tcPr>
            <w:tcW w:w="307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18ABDC52"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CAPEX 2025</w:t>
            </w:r>
          </w:p>
        </w:tc>
      </w:tr>
      <w:tr w:rsidR="00AF1287" w:rsidRPr="009D3648" w14:paraId="69BBD766" w14:textId="77777777" w:rsidTr="00AF1287">
        <w:tblPrEx>
          <w:tblCellMar>
            <w:top w:w="0" w:type="dxa"/>
            <w:bottom w:w="0" w:type="dxa"/>
          </w:tblCellMar>
        </w:tblPrEx>
        <w:tc>
          <w:tcPr>
            <w:tcW w:w="7548"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10B51D9B" w14:textId="77777777" w:rsidR="00AF1287" w:rsidRPr="009D3648" w:rsidRDefault="00AF1287">
            <w:pPr>
              <w:jc w:val="center"/>
              <w:rPr>
                <w:rFonts w:ascii="Calibri" w:hAnsi="Calibri" w:cs="Calibri"/>
                <w:sz w:val="22"/>
                <w:szCs w:val="22"/>
                <w:lang w:val="en-GB"/>
              </w:rPr>
            </w:pPr>
          </w:p>
        </w:tc>
        <w:tc>
          <w:tcPr>
            <w:tcW w:w="15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0F3D81F4"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Amount</w:t>
            </w:r>
          </w:p>
        </w:tc>
        <w:tc>
          <w:tcPr>
            <w:tcW w:w="14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45AF1B6C"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r>
      <w:tr w:rsidR="00C7275F" w:rsidRPr="009D3648" w14:paraId="1ED7C8E4" w14:textId="77777777" w:rsidTr="00AF1287">
        <w:tblPrEx>
          <w:tblCellMar>
            <w:top w:w="0" w:type="dxa"/>
            <w:bottom w:w="0" w:type="dxa"/>
          </w:tblCellMar>
        </w:tblPrEx>
        <w:tc>
          <w:tcPr>
            <w:tcW w:w="75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64343BC"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economic activity referred to in row 1 of Template 1 that is not eligible for the Taxonomy, pursuant to section 4.26 of Annexes I and II to Delegated Regulation (EU) 2021/2139, in the applicable KPI denominator</w:t>
            </w:r>
          </w:p>
        </w:tc>
        <w:tc>
          <w:tcPr>
            <w:tcW w:w="15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D8A81C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1,264,439</w:t>
            </w:r>
          </w:p>
        </w:tc>
        <w:tc>
          <w:tcPr>
            <w:tcW w:w="14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5A17A2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w:t>
            </w:r>
          </w:p>
        </w:tc>
      </w:tr>
      <w:tr w:rsidR="00C7275F" w:rsidRPr="009D3648" w14:paraId="7BD49C31" w14:textId="77777777" w:rsidTr="00AF1287">
        <w:tblPrEx>
          <w:tblCellMar>
            <w:top w:w="0" w:type="dxa"/>
            <w:bottom w:w="0" w:type="dxa"/>
          </w:tblCellMar>
        </w:tblPrEx>
        <w:tc>
          <w:tcPr>
            <w:tcW w:w="75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742986F"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economic activity referred to in row 2 of Template 1 that is not eligible for the Taxonomy, pursuant to section 4.27 of Annexes I and II to Delegated Regulation (EU) 2021/2139, in the applicable KPI denominator</w:t>
            </w:r>
          </w:p>
        </w:tc>
        <w:tc>
          <w:tcPr>
            <w:tcW w:w="15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0DED0B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379,427,215</w:t>
            </w:r>
          </w:p>
        </w:tc>
        <w:tc>
          <w:tcPr>
            <w:tcW w:w="14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EF9AFA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0.8%</w:t>
            </w:r>
          </w:p>
        </w:tc>
      </w:tr>
      <w:tr w:rsidR="00C7275F" w:rsidRPr="009D3648" w14:paraId="1887C57F" w14:textId="77777777" w:rsidTr="00AF1287">
        <w:tblPrEx>
          <w:tblCellMar>
            <w:top w:w="0" w:type="dxa"/>
            <w:bottom w:w="0" w:type="dxa"/>
          </w:tblCellMar>
        </w:tblPrEx>
        <w:tc>
          <w:tcPr>
            <w:tcW w:w="75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678EDD4"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economic activity referred to in row 3 of Template 1 that is not eligible for the Taxonomy, pursuant to section 4.28 of Annexes I and II to Delegated Regulation (EU) 2021/2139, in the applicable KPI denominator</w:t>
            </w:r>
          </w:p>
        </w:tc>
        <w:tc>
          <w:tcPr>
            <w:tcW w:w="15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848926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740,278,228</w:t>
            </w:r>
          </w:p>
        </w:tc>
        <w:tc>
          <w:tcPr>
            <w:tcW w:w="14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324DEE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1.6%</w:t>
            </w:r>
          </w:p>
        </w:tc>
      </w:tr>
      <w:tr w:rsidR="00C7275F" w:rsidRPr="009D3648" w14:paraId="348E9F68" w14:textId="77777777" w:rsidTr="00AF1287">
        <w:tblPrEx>
          <w:tblCellMar>
            <w:top w:w="0" w:type="dxa"/>
            <w:bottom w:w="0" w:type="dxa"/>
          </w:tblCellMar>
        </w:tblPrEx>
        <w:tc>
          <w:tcPr>
            <w:tcW w:w="75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BB0457F"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economic activity referred to in row 4 of Template 1 that is not eligible for the Taxonomy, pursuant to section 4.29 of Annexes I and II to Delegated Regulation (EU) 2021/2139, in the applicable KPI denominator</w:t>
            </w:r>
          </w:p>
        </w:tc>
        <w:tc>
          <w:tcPr>
            <w:tcW w:w="15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466E0F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916,131,046</w:t>
            </w:r>
          </w:p>
        </w:tc>
        <w:tc>
          <w:tcPr>
            <w:tcW w:w="14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9D2518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1.6%</w:t>
            </w:r>
          </w:p>
        </w:tc>
      </w:tr>
      <w:tr w:rsidR="00C7275F" w:rsidRPr="009D3648" w14:paraId="6FB9BD96" w14:textId="77777777" w:rsidTr="00AF1287">
        <w:tblPrEx>
          <w:tblCellMar>
            <w:top w:w="0" w:type="dxa"/>
            <w:bottom w:w="0" w:type="dxa"/>
          </w:tblCellMar>
        </w:tblPrEx>
        <w:tc>
          <w:tcPr>
            <w:tcW w:w="75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E8619D1"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and proportion of the economic activity referred to in row 5 of Template 1 that is not eligible for the Taxonomy, pursuant to section 4.30 of Annexes I and II to Delegated Regulation (EU) 2021/2139, in the applicable KPI denominator</w:t>
            </w:r>
          </w:p>
        </w:tc>
        <w:tc>
          <w:tcPr>
            <w:tcW w:w="15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9995A3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1,211,602,453</w:t>
            </w:r>
          </w:p>
        </w:tc>
        <w:tc>
          <w:tcPr>
            <w:tcW w:w="14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B27C4E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2.0%</w:t>
            </w:r>
          </w:p>
        </w:tc>
      </w:tr>
      <w:tr w:rsidR="00C7275F" w:rsidRPr="009D3648" w14:paraId="2F5F89FF" w14:textId="77777777" w:rsidTr="00AF1287">
        <w:tblPrEx>
          <w:tblCellMar>
            <w:top w:w="0" w:type="dxa"/>
            <w:bottom w:w="0" w:type="dxa"/>
          </w:tblCellMar>
        </w:tblPrEx>
        <w:tc>
          <w:tcPr>
            <w:tcW w:w="75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3AB2472"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lastRenderedPageBreak/>
              <w:t>Amount and proportion of the economic activity referred to in row 6 of Template 1 that is not eligible for the Taxonomy, pursuant to section 4.31 of Annexes I and II to Delegated Regulation (EU) 2021/2139, in the applicable KPI denominator</w:t>
            </w:r>
          </w:p>
        </w:tc>
        <w:tc>
          <w:tcPr>
            <w:tcW w:w="15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7A1F41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948,179,392</w:t>
            </w:r>
          </w:p>
        </w:tc>
        <w:tc>
          <w:tcPr>
            <w:tcW w:w="14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B1F006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2.6%</w:t>
            </w:r>
          </w:p>
        </w:tc>
      </w:tr>
      <w:tr w:rsidR="00C7275F" w:rsidRPr="009D3648" w14:paraId="7BB26A43" w14:textId="77777777" w:rsidTr="00AF1287">
        <w:tblPrEx>
          <w:tblCellMar>
            <w:top w:w="0" w:type="dxa"/>
            <w:bottom w:w="0" w:type="dxa"/>
          </w:tblCellMar>
        </w:tblPrEx>
        <w:tc>
          <w:tcPr>
            <w:tcW w:w="75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F3DCAE8"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Amount and proportion of other Taxonomy-non-eligible economic activities not referred to in rows 1 to 6 above in the applicable KPI denominator</w:t>
            </w:r>
          </w:p>
        </w:tc>
        <w:tc>
          <w:tcPr>
            <w:tcW w:w="15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09E2D3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42,427,905,202</w:t>
            </w:r>
          </w:p>
        </w:tc>
        <w:tc>
          <w:tcPr>
            <w:tcW w:w="14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F39E927"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91.0%</w:t>
            </w:r>
          </w:p>
        </w:tc>
      </w:tr>
      <w:tr w:rsidR="00C7275F" w:rsidRPr="009D3648" w14:paraId="0F434A30" w14:textId="77777777" w:rsidTr="00AF1287">
        <w:tblPrEx>
          <w:tblCellMar>
            <w:top w:w="0" w:type="dxa"/>
            <w:bottom w:w="0" w:type="dxa"/>
          </w:tblCellMar>
        </w:tblPrEx>
        <w:tc>
          <w:tcPr>
            <w:tcW w:w="75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6A383A1"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amount and proportion of Taxonomy-non-eligible economic activities in the applicable KPI denominator</w:t>
            </w:r>
          </w:p>
        </w:tc>
        <w:tc>
          <w:tcPr>
            <w:tcW w:w="15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9FD718F"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46,624,787,975</w:t>
            </w:r>
          </w:p>
        </w:tc>
        <w:tc>
          <w:tcPr>
            <w:tcW w:w="14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AFA4C0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100.0%</w:t>
            </w:r>
          </w:p>
        </w:tc>
      </w:tr>
    </w:tbl>
    <w:p w14:paraId="2381DC45" w14:textId="77777777" w:rsidR="00C7275F" w:rsidRPr="009D3648" w:rsidRDefault="00C7275F">
      <w:pPr>
        <w:rPr>
          <w:rFonts w:ascii="Calibri" w:hAnsi="Calibri" w:cs="Calibri"/>
          <w:sz w:val="22"/>
          <w:szCs w:val="22"/>
          <w:lang w:val="en-GB"/>
        </w:rPr>
      </w:pPr>
    </w:p>
    <w:p w14:paraId="47EC0BD2" w14:textId="77777777" w:rsidR="00C7275F" w:rsidRPr="00AF1287" w:rsidRDefault="00932CE0">
      <w:pPr>
        <w:spacing w:before="200" w:after="100"/>
        <w:rPr>
          <w:rFonts w:ascii="Calibri" w:hAnsi="Calibri" w:cs="Calibri"/>
          <w:sz w:val="22"/>
          <w:szCs w:val="22"/>
          <w:u w:val="single"/>
          <w:lang w:val="en-GB"/>
        </w:rPr>
      </w:pPr>
      <w:r w:rsidRPr="00AF1287">
        <w:rPr>
          <w:rFonts w:ascii="Calibri" w:hAnsi="Calibri" w:cs="Calibri"/>
          <w:b/>
          <w:bCs/>
          <w:sz w:val="22"/>
          <w:szCs w:val="22"/>
          <w:u w:val="single"/>
          <w:lang w:val="en-GB"/>
        </w:rPr>
        <w:t>Non-Life Insurance Indicators</w:t>
      </w:r>
    </w:p>
    <w:p w14:paraId="458E5F70" w14:textId="77777777" w:rsidR="00C7275F" w:rsidRDefault="00932CE0">
      <w:pPr>
        <w:spacing w:before="120" w:after="60"/>
        <w:rPr>
          <w:rFonts w:ascii="Calibri" w:hAnsi="Calibri" w:cs="Calibri"/>
          <w:b/>
          <w:bCs/>
          <w:i/>
          <w:iCs/>
          <w:sz w:val="22"/>
          <w:szCs w:val="22"/>
          <w:lang w:val="en-GB"/>
        </w:rPr>
      </w:pPr>
      <w:r w:rsidRPr="009D3648">
        <w:rPr>
          <w:rFonts w:ascii="Calibri" w:hAnsi="Calibri" w:cs="Calibri"/>
          <w:b/>
          <w:bCs/>
          <w:i/>
          <w:iCs/>
          <w:sz w:val="22"/>
          <w:szCs w:val="22"/>
          <w:lang w:val="en-GB"/>
        </w:rPr>
        <w:t>Regulatory ratio</w:t>
      </w:r>
    </w:p>
    <w:p w14:paraId="71FBA954" w14:textId="77777777" w:rsidR="00AF1287" w:rsidRPr="009D3648" w:rsidRDefault="00AF1287" w:rsidP="00AF1287">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The amounts and ratio are presented in the table below, in accordance with Annex X to Commission Delegated Regulation (EU) 2021/2178. They were established </w:t>
      </w:r>
      <w:proofErr w:type="gramStart"/>
      <w:r w:rsidRPr="009D3648">
        <w:rPr>
          <w:rFonts w:ascii="Calibri" w:hAnsi="Calibri" w:cs="Calibri"/>
          <w:sz w:val="22"/>
          <w:szCs w:val="22"/>
          <w:lang w:val="en-GB"/>
        </w:rPr>
        <w:t>on the basis of</w:t>
      </w:r>
      <w:proofErr w:type="gramEnd"/>
      <w:r w:rsidRPr="009D3648">
        <w:rPr>
          <w:rFonts w:ascii="Calibri" w:hAnsi="Calibri" w:cs="Calibri"/>
          <w:sz w:val="22"/>
          <w:szCs w:val="22"/>
          <w:lang w:val="en-GB"/>
        </w:rPr>
        <w:t xml:space="preserve"> accounting data as </w:t>
      </w:r>
      <w:proofErr w:type="gramStart"/>
      <w:r w:rsidRPr="009D3648">
        <w:rPr>
          <w:rFonts w:ascii="Calibri" w:hAnsi="Calibri" w:cs="Calibri"/>
          <w:sz w:val="22"/>
          <w:szCs w:val="22"/>
          <w:lang w:val="en-GB"/>
        </w:rPr>
        <w:t>at</w:t>
      </w:r>
      <w:proofErr w:type="gramEnd"/>
      <w:r w:rsidRPr="009D3648">
        <w:rPr>
          <w:rFonts w:ascii="Calibri" w:hAnsi="Calibri" w:cs="Calibri"/>
          <w:sz w:val="22"/>
          <w:szCs w:val="22"/>
          <w:lang w:val="en-GB"/>
        </w:rPr>
        <w:t xml:space="preserve"> 31 December 2025. Non-life insurance and reinsurance underwriting activities aligned with the Taxonomy (environmentally sustainable) correspond to the share of Groupama’s non-life turnover meeting the five technical criteria set out in the preceding paragraph. Non-life insurance and reinsurance underwriting activities eligible for the Taxonomy but not environmentally sustainable correspond to the share of eligible premiums that do not cumulatively meet these five criteria. Lastly, non-life insurance and reinsurance underwriting activities not eligible for the Taxonomy correspond to non-eligible activities.</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12"/>
        <w:gridCol w:w="985"/>
        <w:gridCol w:w="1011"/>
        <w:gridCol w:w="1012"/>
        <w:gridCol w:w="704"/>
        <w:gridCol w:w="714"/>
        <w:gridCol w:w="714"/>
        <w:gridCol w:w="714"/>
        <w:gridCol w:w="714"/>
        <w:gridCol w:w="547"/>
      </w:tblGrid>
      <w:tr w:rsidR="00AF1287" w:rsidRPr="009D3648" w14:paraId="6AC9981E" w14:textId="77777777" w:rsidTr="00AF1287">
        <w:tblPrEx>
          <w:tblCellMar>
            <w:top w:w="0" w:type="dxa"/>
            <w:bottom w:w="0" w:type="dxa"/>
          </w:tblCellMar>
        </w:tblPrEx>
        <w:tc>
          <w:tcPr>
            <w:tcW w:w="3512"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01F037F7" w14:textId="6A0BD64A" w:rsidR="00AF1287" w:rsidRPr="009D3648" w:rsidRDefault="00AF1287" w:rsidP="002757EF">
            <w:pPr>
              <w:jc w:val="center"/>
              <w:rPr>
                <w:rFonts w:ascii="Calibri" w:hAnsi="Calibri" w:cs="Calibri"/>
                <w:sz w:val="22"/>
                <w:szCs w:val="22"/>
                <w:lang w:val="en-GB"/>
              </w:rPr>
            </w:pPr>
            <w:r w:rsidRPr="009D3648">
              <w:rPr>
                <w:rFonts w:ascii="Calibri" w:hAnsi="Calibri" w:cs="Calibri"/>
                <w:b/>
                <w:bCs/>
                <w:color w:val="FFFFFF"/>
                <w:sz w:val="22"/>
                <w:szCs w:val="22"/>
                <w:lang w:val="en-GB"/>
              </w:rPr>
              <w:t>Economic activity</w:t>
            </w:r>
          </w:p>
        </w:tc>
        <w:tc>
          <w:tcPr>
            <w:tcW w:w="300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79F9DE6"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Substantial contribution to climate change adaptation</w:t>
            </w:r>
          </w:p>
        </w:tc>
        <w:tc>
          <w:tcPr>
            <w:tcW w:w="410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41796FFA"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DNSH (Do No Significant Harm)</w:t>
            </w:r>
          </w:p>
        </w:tc>
      </w:tr>
      <w:tr w:rsidR="00AF1287" w:rsidRPr="009D3648" w14:paraId="0FC30AEC" w14:textId="77777777" w:rsidTr="00AF1287">
        <w:tblPrEx>
          <w:tblCellMar>
            <w:top w:w="0" w:type="dxa"/>
            <w:bottom w:w="0" w:type="dxa"/>
          </w:tblCellMar>
        </w:tblPrEx>
        <w:trPr>
          <w:cantSplit/>
          <w:trHeight w:val="1872"/>
        </w:trPr>
        <w:tc>
          <w:tcPr>
            <w:tcW w:w="3512"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52DDAFFB" w14:textId="6D86DE52" w:rsidR="00AF1287" w:rsidRPr="009D3648" w:rsidRDefault="00AF1287">
            <w:pPr>
              <w:jc w:val="center"/>
              <w:rPr>
                <w:rFonts w:ascii="Calibri" w:hAnsi="Calibri" w:cs="Calibri"/>
                <w:sz w:val="22"/>
                <w:szCs w:val="22"/>
                <w:lang w:val="en-GB"/>
              </w:rPr>
            </w:pP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textDirection w:val="tbRl"/>
            <w:vAlign w:val="center"/>
          </w:tcPr>
          <w:p w14:paraId="1DB51E68" w14:textId="77777777" w:rsidR="00AF1287" w:rsidRPr="009D3648" w:rsidRDefault="00AF1287" w:rsidP="00AF1287">
            <w:pPr>
              <w:ind w:left="113" w:right="113"/>
              <w:jc w:val="center"/>
              <w:rPr>
                <w:rFonts w:ascii="Calibri" w:hAnsi="Calibri" w:cs="Calibri"/>
                <w:sz w:val="22"/>
                <w:szCs w:val="22"/>
                <w:lang w:val="en-GB"/>
              </w:rPr>
            </w:pPr>
            <w:r w:rsidRPr="009D3648">
              <w:rPr>
                <w:rFonts w:ascii="Calibri" w:hAnsi="Calibri" w:cs="Calibri"/>
                <w:b/>
                <w:bCs/>
                <w:color w:val="FFFFFF"/>
                <w:sz w:val="22"/>
                <w:szCs w:val="22"/>
                <w:lang w:val="en-GB"/>
              </w:rPr>
              <w:t>Absolute amount of premiums 2025</w:t>
            </w:r>
          </w:p>
        </w:tc>
        <w:tc>
          <w:tcPr>
            <w:tcW w:w="10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textDirection w:val="tbRl"/>
            <w:vAlign w:val="center"/>
          </w:tcPr>
          <w:p w14:paraId="485C36AD" w14:textId="77777777" w:rsidR="00AF1287" w:rsidRPr="009D3648" w:rsidRDefault="00AF1287" w:rsidP="00AF1287">
            <w:pPr>
              <w:ind w:left="113" w:right="113"/>
              <w:jc w:val="center"/>
              <w:rPr>
                <w:rFonts w:ascii="Calibri" w:hAnsi="Calibri" w:cs="Calibri"/>
                <w:sz w:val="22"/>
                <w:szCs w:val="22"/>
                <w:lang w:val="en-GB"/>
              </w:rPr>
            </w:pPr>
            <w:r w:rsidRPr="009D3648">
              <w:rPr>
                <w:rFonts w:ascii="Calibri" w:hAnsi="Calibri" w:cs="Calibri"/>
                <w:b/>
                <w:bCs/>
                <w:color w:val="FFFFFF"/>
                <w:sz w:val="22"/>
                <w:szCs w:val="22"/>
                <w:lang w:val="en-GB"/>
              </w:rPr>
              <w:t>Proportion of premiums 2025</w:t>
            </w:r>
          </w:p>
        </w:tc>
        <w:tc>
          <w:tcPr>
            <w:tcW w:w="10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textDirection w:val="tbRl"/>
            <w:vAlign w:val="center"/>
          </w:tcPr>
          <w:p w14:paraId="14AA5BD9" w14:textId="77777777" w:rsidR="00AF1287" w:rsidRPr="009D3648" w:rsidRDefault="00AF1287" w:rsidP="00AF1287">
            <w:pPr>
              <w:ind w:left="113" w:right="113"/>
              <w:jc w:val="center"/>
              <w:rPr>
                <w:rFonts w:ascii="Calibri" w:hAnsi="Calibri" w:cs="Calibri"/>
                <w:sz w:val="22"/>
                <w:szCs w:val="22"/>
                <w:lang w:val="en-GB"/>
              </w:rPr>
            </w:pPr>
            <w:r w:rsidRPr="009D3648">
              <w:rPr>
                <w:rFonts w:ascii="Calibri" w:hAnsi="Calibri" w:cs="Calibri"/>
                <w:b/>
                <w:bCs/>
                <w:color w:val="FFFFFF"/>
                <w:sz w:val="22"/>
                <w:szCs w:val="22"/>
                <w:lang w:val="en-GB"/>
              </w:rPr>
              <w:t>Proportion of premiums 2024</w:t>
            </w:r>
          </w:p>
        </w:tc>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textDirection w:val="tbRl"/>
            <w:vAlign w:val="center"/>
          </w:tcPr>
          <w:p w14:paraId="669254DE" w14:textId="77777777" w:rsidR="00AF1287" w:rsidRPr="009D3648" w:rsidRDefault="00AF1287" w:rsidP="00AF1287">
            <w:pPr>
              <w:ind w:left="113" w:right="113"/>
              <w:jc w:val="center"/>
              <w:rPr>
                <w:rFonts w:ascii="Calibri" w:hAnsi="Calibri" w:cs="Calibri"/>
                <w:sz w:val="22"/>
                <w:szCs w:val="22"/>
                <w:lang w:val="en-GB"/>
              </w:rPr>
            </w:pPr>
            <w:r w:rsidRPr="009D3648">
              <w:rPr>
                <w:rFonts w:ascii="Calibri" w:hAnsi="Calibri" w:cs="Calibri"/>
                <w:b/>
                <w:bCs/>
                <w:color w:val="FFFFFF"/>
                <w:sz w:val="22"/>
                <w:szCs w:val="22"/>
                <w:lang w:val="en-GB"/>
              </w:rPr>
              <w:t>Climate change mitigation</w:t>
            </w:r>
          </w:p>
        </w:tc>
        <w:tc>
          <w:tcPr>
            <w:tcW w:w="71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textDirection w:val="tbRl"/>
            <w:vAlign w:val="center"/>
          </w:tcPr>
          <w:p w14:paraId="16CEBBF7" w14:textId="77777777" w:rsidR="00AF1287" w:rsidRPr="009D3648" w:rsidRDefault="00AF1287" w:rsidP="00AF1287">
            <w:pPr>
              <w:ind w:left="113" w:right="113"/>
              <w:jc w:val="center"/>
              <w:rPr>
                <w:rFonts w:ascii="Calibri" w:hAnsi="Calibri" w:cs="Calibri"/>
                <w:sz w:val="22"/>
                <w:szCs w:val="22"/>
                <w:lang w:val="en-GB"/>
              </w:rPr>
            </w:pPr>
            <w:r w:rsidRPr="009D3648">
              <w:rPr>
                <w:rFonts w:ascii="Calibri" w:hAnsi="Calibri" w:cs="Calibri"/>
                <w:b/>
                <w:bCs/>
                <w:color w:val="FFFFFF"/>
                <w:sz w:val="22"/>
                <w:szCs w:val="22"/>
                <w:lang w:val="en-GB"/>
              </w:rPr>
              <w:t>Water and marine resources</w:t>
            </w:r>
          </w:p>
        </w:tc>
        <w:tc>
          <w:tcPr>
            <w:tcW w:w="71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textDirection w:val="tbRl"/>
            <w:vAlign w:val="center"/>
          </w:tcPr>
          <w:p w14:paraId="140DBB1D" w14:textId="77777777" w:rsidR="00AF1287" w:rsidRPr="009D3648" w:rsidRDefault="00AF1287" w:rsidP="00AF1287">
            <w:pPr>
              <w:ind w:left="113" w:right="113"/>
              <w:jc w:val="center"/>
              <w:rPr>
                <w:rFonts w:ascii="Calibri" w:hAnsi="Calibri" w:cs="Calibri"/>
                <w:sz w:val="22"/>
                <w:szCs w:val="22"/>
                <w:lang w:val="en-GB"/>
              </w:rPr>
            </w:pPr>
            <w:r w:rsidRPr="009D3648">
              <w:rPr>
                <w:rFonts w:ascii="Calibri" w:hAnsi="Calibri" w:cs="Calibri"/>
                <w:b/>
                <w:bCs/>
                <w:color w:val="FFFFFF"/>
                <w:sz w:val="22"/>
                <w:szCs w:val="22"/>
                <w:lang w:val="en-GB"/>
              </w:rPr>
              <w:t>Circular economy</w:t>
            </w:r>
          </w:p>
        </w:tc>
        <w:tc>
          <w:tcPr>
            <w:tcW w:w="71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textDirection w:val="tbRl"/>
            <w:vAlign w:val="center"/>
          </w:tcPr>
          <w:p w14:paraId="6DD00CD7" w14:textId="77777777" w:rsidR="00AF1287" w:rsidRPr="009D3648" w:rsidRDefault="00AF1287" w:rsidP="00AF1287">
            <w:pPr>
              <w:ind w:left="113" w:right="113"/>
              <w:jc w:val="center"/>
              <w:rPr>
                <w:rFonts w:ascii="Calibri" w:hAnsi="Calibri" w:cs="Calibri"/>
                <w:sz w:val="22"/>
                <w:szCs w:val="22"/>
                <w:lang w:val="en-GB"/>
              </w:rPr>
            </w:pPr>
            <w:r w:rsidRPr="009D3648">
              <w:rPr>
                <w:rFonts w:ascii="Calibri" w:hAnsi="Calibri" w:cs="Calibri"/>
                <w:b/>
                <w:bCs/>
                <w:color w:val="FFFFFF"/>
                <w:sz w:val="22"/>
                <w:szCs w:val="22"/>
                <w:lang w:val="en-GB"/>
              </w:rPr>
              <w:t>Pollution</w:t>
            </w:r>
          </w:p>
        </w:tc>
        <w:tc>
          <w:tcPr>
            <w:tcW w:w="71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textDirection w:val="tbRl"/>
            <w:vAlign w:val="center"/>
          </w:tcPr>
          <w:p w14:paraId="618994FB" w14:textId="77777777" w:rsidR="00AF1287" w:rsidRPr="009D3648" w:rsidRDefault="00AF1287" w:rsidP="00AF1287">
            <w:pPr>
              <w:ind w:left="113" w:right="113"/>
              <w:jc w:val="center"/>
              <w:rPr>
                <w:rFonts w:ascii="Calibri" w:hAnsi="Calibri" w:cs="Calibri"/>
                <w:sz w:val="22"/>
                <w:szCs w:val="22"/>
                <w:lang w:val="en-GB"/>
              </w:rPr>
            </w:pPr>
            <w:r w:rsidRPr="009D3648">
              <w:rPr>
                <w:rFonts w:ascii="Calibri" w:hAnsi="Calibri" w:cs="Calibri"/>
                <w:b/>
                <w:bCs/>
                <w:color w:val="FFFFFF"/>
                <w:sz w:val="22"/>
                <w:szCs w:val="22"/>
                <w:lang w:val="en-GB"/>
              </w:rPr>
              <w:t>Biodiversity and ecosystems</w:t>
            </w:r>
          </w:p>
        </w:tc>
        <w:tc>
          <w:tcPr>
            <w:tcW w:w="547"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textDirection w:val="tbRl"/>
            <w:vAlign w:val="center"/>
          </w:tcPr>
          <w:p w14:paraId="76254B34" w14:textId="77777777" w:rsidR="00AF1287" w:rsidRPr="009D3648" w:rsidRDefault="00AF1287" w:rsidP="00AF1287">
            <w:pPr>
              <w:ind w:left="113" w:right="113"/>
              <w:jc w:val="center"/>
              <w:rPr>
                <w:rFonts w:ascii="Calibri" w:hAnsi="Calibri" w:cs="Calibri"/>
                <w:sz w:val="22"/>
                <w:szCs w:val="22"/>
                <w:lang w:val="en-GB"/>
              </w:rPr>
            </w:pPr>
            <w:r w:rsidRPr="009D3648">
              <w:rPr>
                <w:rFonts w:ascii="Calibri" w:hAnsi="Calibri" w:cs="Calibri"/>
                <w:b/>
                <w:bCs/>
                <w:color w:val="FFFFFF"/>
                <w:sz w:val="22"/>
                <w:szCs w:val="22"/>
                <w:lang w:val="en-GB"/>
              </w:rPr>
              <w:t>Minimum safeguards</w:t>
            </w:r>
          </w:p>
        </w:tc>
      </w:tr>
      <w:tr w:rsidR="00AF1287" w:rsidRPr="009D3648" w14:paraId="368CCE45" w14:textId="77777777" w:rsidTr="00AF1287">
        <w:tblPrEx>
          <w:tblCellMar>
            <w:top w:w="0" w:type="dxa"/>
            <w:bottom w:w="0" w:type="dxa"/>
          </w:tblCellMar>
        </w:tblPrEx>
        <w:tc>
          <w:tcPr>
            <w:tcW w:w="3512"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4886AB1E" w14:textId="77777777" w:rsidR="00AF1287" w:rsidRPr="009D3648" w:rsidRDefault="00AF1287">
            <w:pPr>
              <w:jc w:val="center"/>
              <w:rPr>
                <w:rFonts w:ascii="Calibri" w:hAnsi="Calibri" w:cs="Calibri"/>
                <w:sz w:val="22"/>
                <w:szCs w:val="22"/>
                <w:lang w:val="en-GB"/>
              </w:rPr>
            </w:pP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715F7E41" w14:textId="27D17603" w:rsidR="00AF1287" w:rsidRPr="009D3648" w:rsidRDefault="00AF1287">
            <w:pPr>
              <w:jc w:val="center"/>
              <w:rPr>
                <w:rFonts w:ascii="Calibri" w:hAnsi="Calibri" w:cs="Calibri"/>
                <w:sz w:val="22"/>
                <w:szCs w:val="22"/>
                <w:lang w:val="en-GB"/>
              </w:rPr>
            </w:pPr>
            <w:r>
              <w:rPr>
                <w:rFonts w:ascii="Calibri" w:hAnsi="Calibri" w:cs="Calibri"/>
                <w:b/>
                <w:bCs/>
                <w:color w:val="FFFFFF"/>
                <w:sz w:val="22"/>
                <w:szCs w:val="22"/>
                <w:lang w:val="en-GB"/>
              </w:rPr>
              <w:t>M</w:t>
            </w:r>
            <w:r w:rsidRPr="009D3648">
              <w:rPr>
                <w:rFonts w:ascii="Calibri" w:hAnsi="Calibri" w:cs="Calibri"/>
                <w:b/>
                <w:bCs/>
                <w:color w:val="FFFFFF"/>
                <w:sz w:val="22"/>
                <w:szCs w:val="22"/>
                <w:lang w:val="en-GB"/>
              </w:rPr>
              <w:t>€</w:t>
            </w:r>
          </w:p>
        </w:tc>
        <w:tc>
          <w:tcPr>
            <w:tcW w:w="10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777B7414"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10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562115D4"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FFFFFF"/>
                <w:sz w:val="22"/>
                <w:szCs w:val="22"/>
                <w:lang w:val="en-GB"/>
              </w:rPr>
              <w:t>%</w:t>
            </w:r>
          </w:p>
        </w:tc>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4E4F5BE1" w14:textId="77777777" w:rsidR="00AF1287" w:rsidRPr="009D3648" w:rsidRDefault="00AF1287">
            <w:pPr>
              <w:jc w:val="center"/>
              <w:rPr>
                <w:rFonts w:ascii="Calibri" w:hAnsi="Calibri" w:cs="Calibri"/>
                <w:sz w:val="22"/>
                <w:szCs w:val="22"/>
                <w:lang w:val="en-GB"/>
              </w:rPr>
            </w:pPr>
          </w:p>
        </w:tc>
        <w:tc>
          <w:tcPr>
            <w:tcW w:w="71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558495DD" w14:textId="77777777" w:rsidR="00AF1287" w:rsidRPr="009D3648" w:rsidRDefault="00AF1287">
            <w:pPr>
              <w:jc w:val="center"/>
              <w:rPr>
                <w:rFonts w:ascii="Calibri" w:hAnsi="Calibri" w:cs="Calibri"/>
                <w:sz w:val="22"/>
                <w:szCs w:val="22"/>
                <w:lang w:val="en-GB"/>
              </w:rPr>
            </w:pPr>
          </w:p>
        </w:tc>
        <w:tc>
          <w:tcPr>
            <w:tcW w:w="71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5A7611EE" w14:textId="77777777" w:rsidR="00AF1287" w:rsidRPr="009D3648" w:rsidRDefault="00AF1287">
            <w:pPr>
              <w:jc w:val="center"/>
              <w:rPr>
                <w:rFonts w:ascii="Calibri" w:hAnsi="Calibri" w:cs="Calibri"/>
                <w:sz w:val="22"/>
                <w:szCs w:val="22"/>
                <w:lang w:val="en-GB"/>
              </w:rPr>
            </w:pPr>
          </w:p>
        </w:tc>
        <w:tc>
          <w:tcPr>
            <w:tcW w:w="71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7E9ABEB5" w14:textId="77777777" w:rsidR="00AF1287" w:rsidRPr="009D3648" w:rsidRDefault="00AF1287">
            <w:pPr>
              <w:jc w:val="center"/>
              <w:rPr>
                <w:rFonts w:ascii="Calibri" w:hAnsi="Calibri" w:cs="Calibri"/>
                <w:sz w:val="22"/>
                <w:szCs w:val="22"/>
                <w:lang w:val="en-GB"/>
              </w:rPr>
            </w:pPr>
          </w:p>
        </w:tc>
        <w:tc>
          <w:tcPr>
            <w:tcW w:w="71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11933180" w14:textId="77777777" w:rsidR="00AF1287" w:rsidRPr="009D3648" w:rsidRDefault="00AF1287">
            <w:pPr>
              <w:jc w:val="center"/>
              <w:rPr>
                <w:rFonts w:ascii="Calibri" w:hAnsi="Calibri" w:cs="Calibri"/>
                <w:sz w:val="22"/>
                <w:szCs w:val="22"/>
                <w:lang w:val="en-GB"/>
              </w:rPr>
            </w:pPr>
          </w:p>
        </w:tc>
        <w:tc>
          <w:tcPr>
            <w:tcW w:w="547"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A517D"/>
            <w:tcMar>
              <w:top w:w="60" w:type="dxa"/>
              <w:left w:w="100" w:type="dxa"/>
              <w:bottom w:w="60" w:type="dxa"/>
              <w:right w:w="100" w:type="dxa"/>
            </w:tcMar>
            <w:vAlign w:val="center"/>
          </w:tcPr>
          <w:p w14:paraId="56DEA5D5" w14:textId="77777777" w:rsidR="00AF1287" w:rsidRPr="009D3648" w:rsidRDefault="00AF1287">
            <w:pPr>
              <w:jc w:val="center"/>
              <w:rPr>
                <w:rFonts w:ascii="Calibri" w:hAnsi="Calibri" w:cs="Calibri"/>
                <w:sz w:val="22"/>
                <w:szCs w:val="22"/>
                <w:lang w:val="en-GB"/>
              </w:rPr>
            </w:pPr>
          </w:p>
        </w:tc>
      </w:tr>
      <w:tr w:rsidR="00C7275F" w:rsidRPr="009D3648" w14:paraId="6E49C261" w14:textId="77777777" w:rsidTr="00AF1287">
        <w:tblPrEx>
          <w:tblCellMar>
            <w:top w:w="0" w:type="dxa"/>
            <w:bottom w:w="0" w:type="dxa"/>
          </w:tblCellMar>
        </w:tblPrEx>
        <w:tc>
          <w:tcPr>
            <w:tcW w:w="35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2D20A80"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A.1. Non-life insurance and reinsurance underwriting activities aligned with the Taxonomy (environmentally sustainable)</w:t>
            </w: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EE9BDB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802.5</w:t>
            </w:r>
          </w:p>
        </w:tc>
        <w:tc>
          <w:tcPr>
            <w:tcW w:w="10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8211BC8"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6.13%</w:t>
            </w:r>
          </w:p>
        </w:tc>
        <w:tc>
          <w:tcPr>
            <w:tcW w:w="10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933A7D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4.09%</w:t>
            </w:r>
          </w:p>
        </w:tc>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DBBABD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YES</w:t>
            </w:r>
          </w:p>
        </w:tc>
        <w:tc>
          <w:tcPr>
            <w:tcW w:w="7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73BB454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N/A</w:t>
            </w:r>
          </w:p>
        </w:tc>
        <w:tc>
          <w:tcPr>
            <w:tcW w:w="7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725E3C50"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N/A</w:t>
            </w:r>
          </w:p>
        </w:tc>
        <w:tc>
          <w:tcPr>
            <w:tcW w:w="7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243CC2D3"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N/A</w:t>
            </w:r>
          </w:p>
        </w:tc>
        <w:tc>
          <w:tcPr>
            <w:tcW w:w="7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A0AD29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N/A</w:t>
            </w:r>
          </w:p>
        </w:tc>
        <w:tc>
          <w:tcPr>
            <w:tcW w:w="5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C3D148A"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YES</w:t>
            </w:r>
          </w:p>
        </w:tc>
      </w:tr>
      <w:tr w:rsidR="00C7275F" w:rsidRPr="009D3648" w14:paraId="2F9A29AE" w14:textId="77777777" w:rsidTr="00AF1287">
        <w:tblPrEx>
          <w:tblCellMar>
            <w:top w:w="0" w:type="dxa"/>
            <w:bottom w:w="0" w:type="dxa"/>
          </w:tblCellMar>
        </w:tblPrEx>
        <w:tc>
          <w:tcPr>
            <w:tcW w:w="35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EB2F1AF"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A.1.1 Of which reinsured</w:t>
            </w: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1EE968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-4.6</w:t>
            </w:r>
          </w:p>
        </w:tc>
        <w:tc>
          <w:tcPr>
            <w:tcW w:w="10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911654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-0.04%</w:t>
            </w:r>
          </w:p>
        </w:tc>
        <w:tc>
          <w:tcPr>
            <w:tcW w:w="10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B66288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-0.01%</w:t>
            </w:r>
          </w:p>
        </w:tc>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92DD2E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YES</w:t>
            </w:r>
          </w:p>
        </w:tc>
        <w:tc>
          <w:tcPr>
            <w:tcW w:w="7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E00DE8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N/A</w:t>
            </w:r>
          </w:p>
        </w:tc>
        <w:tc>
          <w:tcPr>
            <w:tcW w:w="7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1265CF7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N/A</w:t>
            </w:r>
          </w:p>
        </w:tc>
        <w:tc>
          <w:tcPr>
            <w:tcW w:w="7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66D5BE3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N/A</w:t>
            </w:r>
          </w:p>
        </w:tc>
        <w:tc>
          <w:tcPr>
            <w:tcW w:w="7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30EEE24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N/A</w:t>
            </w:r>
          </w:p>
        </w:tc>
        <w:tc>
          <w:tcPr>
            <w:tcW w:w="5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76A99C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YES</w:t>
            </w:r>
          </w:p>
        </w:tc>
      </w:tr>
      <w:tr w:rsidR="00AF1287" w:rsidRPr="009D3648" w14:paraId="7A49D6D4" w14:textId="77777777" w:rsidTr="00AF1287">
        <w:tblPrEx>
          <w:tblCellMar>
            <w:top w:w="0" w:type="dxa"/>
            <w:bottom w:w="0" w:type="dxa"/>
          </w:tblCellMar>
        </w:tblPrEx>
        <w:tc>
          <w:tcPr>
            <w:tcW w:w="35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483DCF81" w14:textId="77777777" w:rsidR="00AF1287" w:rsidRPr="009D3648" w:rsidRDefault="00AF1287">
            <w:pPr>
              <w:rPr>
                <w:rFonts w:ascii="Calibri" w:hAnsi="Calibri" w:cs="Calibri"/>
                <w:sz w:val="22"/>
                <w:szCs w:val="22"/>
                <w:lang w:val="en-GB"/>
              </w:rPr>
            </w:pPr>
            <w:r w:rsidRPr="009D3648">
              <w:rPr>
                <w:rFonts w:ascii="Calibri" w:hAnsi="Calibri" w:cs="Calibri"/>
                <w:b/>
                <w:bCs/>
                <w:color w:val="000000"/>
                <w:sz w:val="22"/>
                <w:szCs w:val="22"/>
                <w:lang w:val="en-GB"/>
              </w:rPr>
              <w:t xml:space="preserve">A.2 </w:t>
            </w:r>
            <w:proofErr w:type="gramStart"/>
            <w:r w:rsidRPr="009D3648">
              <w:rPr>
                <w:rFonts w:ascii="Calibri" w:hAnsi="Calibri" w:cs="Calibri"/>
                <w:b/>
                <w:bCs/>
                <w:color w:val="000000"/>
                <w:sz w:val="22"/>
                <w:szCs w:val="22"/>
                <w:lang w:val="en-GB"/>
              </w:rPr>
              <w:t>Non-life</w:t>
            </w:r>
            <w:proofErr w:type="gramEnd"/>
            <w:r w:rsidRPr="009D3648">
              <w:rPr>
                <w:rFonts w:ascii="Calibri" w:hAnsi="Calibri" w:cs="Calibri"/>
                <w:b/>
                <w:bCs/>
                <w:color w:val="000000"/>
                <w:sz w:val="22"/>
                <w:szCs w:val="22"/>
                <w:lang w:val="en-GB"/>
              </w:rPr>
              <w:t xml:space="preserve"> insurance and reinsurance underwriting activities eligible for the Taxonomy but not environmentally sustainable</w:t>
            </w: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64E52CC"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000000"/>
                <w:sz w:val="22"/>
                <w:szCs w:val="22"/>
                <w:lang w:val="en-GB"/>
              </w:rPr>
              <w:t>650.4</w:t>
            </w:r>
          </w:p>
        </w:tc>
        <w:tc>
          <w:tcPr>
            <w:tcW w:w="10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05CB01CD"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000000"/>
                <w:sz w:val="22"/>
                <w:szCs w:val="22"/>
                <w:lang w:val="en-GB"/>
              </w:rPr>
              <w:t>4.97%</w:t>
            </w:r>
          </w:p>
        </w:tc>
        <w:tc>
          <w:tcPr>
            <w:tcW w:w="10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810D6F5"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000000"/>
                <w:sz w:val="22"/>
                <w:szCs w:val="22"/>
                <w:lang w:val="en-GB"/>
              </w:rPr>
              <w:t>4.77%</w:t>
            </w:r>
          </w:p>
        </w:tc>
        <w:tc>
          <w:tcPr>
            <w:tcW w:w="4107" w:type="dxa"/>
            <w:gridSpan w:val="6"/>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60" w:type="dxa"/>
              <w:left w:w="100" w:type="dxa"/>
              <w:bottom w:w="60" w:type="dxa"/>
              <w:right w:w="100" w:type="dxa"/>
            </w:tcMar>
            <w:vAlign w:val="center"/>
          </w:tcPr>
          <w:p w14:paraId="5B2374EF" w14:textId="77777777" w:rsidR="00AF1287" w:rsidRPr="009D3648" w:rsidRDefault="00AF1287">
            <w:pPr>
              <w:jc w:val="center"/>
              <w:rPr>
                <w:rFonts w:ascii="Calibri" w:hAnsi="Calibri" w:cs="Calibri"/>
                <w:sz w:val="22"/>
                <w:szCs w:val="22"/>
                <w:lang w:val="en-GB"/>
              </w:rPr>
            </w:pPr>
          </w:p>
        </w:tc>
      </w:tr>
      <w:tr w:rsidR="00AF1287" w:rsidRPr="009D3648" w14:paraId="1AE215B6" w14:textId="77777777" w:rsidTr="00AF1287">
        <w:tblPrEx>
          <w:tblCellMar>
            <w:top w:w="0" w:type="dxa"/>
            <w:bottom w:w="0" w:type="dxa"/>
          </w:tblCellMar>
        </w:tblPrEx>
        <w:tc>
          <w:tcPr>
            <w:tcW w:w="35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DC37354" w14:textId="77777777" w:rsidR="00AF1287" w:rsidRPr="009D3648" w:rsidRDefault="00AF1287">
            <w:pPr>
              <w:rPr>
                <w:rFonts w:ascii="Calibri" w:hAnsi="Calibri" w:cs="Calibri"/>
                <w:sz w:val="22"/>
                <w:szCs w:val="22"/>
                <w:lang w:val="en-GB"/>
              </w:rPr>
            </w:pPr>
            <w:r w:rsidRPr="009D3648">
              <w:rPr>
                <w:rFonts w:ascii="Calibri" w:hAnsi="Calibri" w:cs="Calibri"/>
                <w:b/>
                <w:bCs/>
                <w:color w:val="000000"/>
                <w:sz w:val="22"/>
                <w:szCs w:val="22"/>
                <w:lang w:val="en-GB"/>
              </w:rPr>
              <w:t xml:space="preserve">B. </w:t>
            </w:r>
            <w:proofErr w:type="gramStart"/>
            <w:r w:rsidRPr="009D3648">
              <w:rPr>
                <w:rFonts w:ascii="Calibri" w:hAnsi="Calibri" w:cs="Calibri"/>
                <w:b/>
                <w:bCs/>
                <w:color w:val="000000"/>
                <w:sz w:val="22"/>
                <w:szCs w:val="22"/>
                <w:lang w:val="en-GB"/>
              </w:rPr>
              <w:t>Non-life</w:t>
            </w:r>
            <w:proofErr w:type="gramEnd"/>
            <w:r w:rsidRPr="009D3648">
              <w:rPr>
                <w:rFonts w:ascii="Calibri" w:hAnsi="Calibri" w:cs="Calibri"/>
                <w:b/>
                <w:bCs/>
                <w:color w:val="000000"/>
                <w:sz w:val="22"/>
                <w:szCs w:val="22"/>
                <w:lang w:val="en-GB"/>
              </w:rPr>
              <w:t xml:space="preserve"> insurance and reinsurance underwriting activities not eligible for the Taxonomy</w:t>
            </w: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E2C6882"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000000"/>
                <w:sz w:val="22"/>
                <w:szCs w:val="22"/>
                <w:lang w:val="en-GB"/>
              </w:rPr>
              <w:t>11,633.1</w:t>
            </w:r>
          </w:p>
        </w:tc>
        <w:tc>
          <w:tcPr>
            <w:tcW w:w="10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8B21AF8"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000000"/>
                <w:sz w:val="22"/>
                <w:szCs w:val="22"/>
                <w:lang w:val="en-GB"/>
              </w:rPr>
              <w:t>88.90%</w:t>
            </w:r>
          </w:p>
        </w:tc>
        <w:tc>
          <w:tcPr>
            <w:tcW w:w="10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3C16A79"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000000"/>
                <w:sz w:val="22"/>
                <w:szCs w:val="22"/>
                <w:lang w:val="en-GB"/>
              </w:rPr>
              <w:t>91.14%</w:t>
            </w:r>
          </w:p>
        </w:tc>
        <w:tc>
          <w:tcPr>
            <w:tcW w:w="4107" w:type="dxa"/>
            <w:gridSpan w:val="6"/>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353A4B1" w14:textId="77777777" w:rsidR="00AF1287" w:rsidRPr="009D3648" w:rsidRDefault="00AF1287">
            <w:pPr>
              <w:jc w:val="center"/>
              <w:rPr>
                <w:rFonts w:ascii="Calibri" w:hAnsi="Calibri" w:cs="Calibri"/>
                <w:sz w:val="22"/>
                <w:szCs w:val="22"/>
                <w:lang w:val="en-GB"/>
              </w:rPr>
            </w:pPr>
          </w:p>
        </w:tc>
      </w:tr>
      <w:tr w:rsidR="00AF1287" w:rsidRPr="009D3648" w14:paraId="3EDBF899" w14:textId="77777777" w:rsidTr="00AF1287">
        <w:tblPrEx>
          <w:tblCellMar>
            <w:top w:w="0" w:type="dxa"/>
            <w:bottom w:w="0" w:type="dxa"/>
          </w:tblCellMar>
        </w:tblPrEx>
        <w:tc>
          <w:tcPr>
            <w:tcW w:w="35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E67A0CF" w14:textId="77777777" w:rsidR="00AF1287" w:rsidRPr="009D3648" w:rsidRDefault="00AF1287">
            <w:pPr>
              <w:rPr>
                <w:rFonts w:ascii="Calibri" w:hAnsi="Calibri" w:cs="Calibri"/>
                <w:sz w:val="22"/>
                <w:szCs w:val="22"/>
                <w:lang w:val="en-GB"/>
              </w:rPr>
            </w:pPr>
            <w:r w:rsidRPr="009D3648">
              <w:rPr>
                <w:rFonts w:ascii="Calibri" w:hAnsi="Calibri" w:cs="Calibri"/>
                <w:b/>
                <w:bCs/>
                <w:color w:val="000000"/>
                <w:sz w:val="22"/>
                <w:szCs w:val="22"/>
                <w:lang w:val="en-GB"/>
              </w:rPr>
              <w:t>Total</w:t>
            </w: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8912029"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000000"/>
                <w:sz w:val="22"/>
                <w:szCs w:val="22"/>
                <w:lang w:val="en-GB"/>
              </w:rPr>
              <w:t>13,086.0</w:t>
            </w:r>
          </w:p>
        </w:tc>
        <w:tc>
          <w:tcPr>
            <w:tcW w:w="10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28B7B38"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000000"/>
                <w:sz w:val="22"/>
                <w:szCs w:val="22"/>
                <w:lang w:val="en-GB"/>
              </w:rPr>
              <w:t>100%</w:t>
            </w:r>
          </w:p>
        </w:tc>
        <w:tc>
          <w:tcPr>
            <w:tcW w:w="10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C02E146" w14:textId="77777777" w:rsidR="00AF1287" w:rsidRPr="009D3648" w:rsidRDefault="00AF1287">
            <w:pPr>
              <w:jc w:val="center"/>
              <w:rPr>
                <w:rFonts w:ascii="Calibri" w:hAnsi="Calibri" w:cs="Calibri"/>
                <w:sz w:val="22"/>
                <w:szCs w:val="22"/>
                <w:lang w:val="en-GB"/>
              </w:rPr>
            </w:pPr>
            <w:r w:rsidRPr="009D3648">
              <w:rPr>
                <w:rFonts w:ascii="Calibri" w:hAnsi="Calibri" w:cs="Calibri"/>
                <w:b/>
                <w:bCs/>
                <w:color w:val="000000"/>
                <w:sz w:val="22"/>
                <w:szCs w:val="22"/>
                <w:lang w:val="en-GB"/>
              </w:rPr>
              <w:t>100%</w:t>
            </w:r>
          </w:p>
        </w:tc>
        <w:tc>
          <w:tcPr>
            <w:tcW w:w="4107" w:type="dxa"/>
            <w:gridSpan w:val="6"/>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45A14C6" w14:textId="77777777" w:rsidR="00AF1287" w:rsidRPr="009D3648" w:rsidRDefault="00AF1287">
            <w:pPr>
              <w:jc w:val="center"/>
              <w:rPr>
                <w:rFonts w:ascii="Calibri" w:hAnsi="Calibri" w:cs="Calibri"/>
                <w:sz w:val="22"/>
                <w:szCs w:val="22"/>
                <w:lang w:val="en-GB"/>
              </w:rPr>
            </w:pPr>
          </w:p>
        </w:tc>
      </w:tr>
      <w:tr w:rsidR="00AF1287" w:rsidRPr="009D3648" w14:paraId="2A86131E" w14:textId="77777777" w:rsidTr="00AF1287">
        <w:tblPrEx>
          <w:tblCellMar>
            <w:top w:w="0" w:type="dxa"/>
            <w:bottom w:w="0" w:type="dxa"/>
          </w:tblCellMar>
        </w:tblPrEx>
        <w:tc>
          <w:tcPr>
            <w:tcW w:w="35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7DCEB6A" w14:textId="77777777" w:rsidR="00AF1287" w:rsidRPr="009D3648" w:rsidRDefault="00AF1287">
            <w:pPr>
              <w:rPr>
                <w:rFonts w:ascii="Calibri" w:hAnsi="Calibri" w:cs="Calibri"/>
                <w:sz w:val="22"/>
                <w:szCs w:val="22"/>
                <w:lang w:val="en-GB"/>
              </w:rPr>
            </w:pPr>
            <w:r w:rsidRPr="009D3648">
              <w:rPr>
                <w:rFonts w:ascii="Calibri" w:hAnsi="Calibri" w:cs="Calibri"/>
                <w:b/>
                <w:bCs/>
                <w:color w:val="000000"/>
                <w:sz w:val="22"/>
                <w:szCs w:val="22"/>
                <w:lang w:val="en-GB"/>
              </w:rPr>
              <w:t>Eligibility</w:t>
            </w:r>
          </w:p>
        </w:tc>
        <w:tc>
          <w:tcPr>
            <w:tcW w:w="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13FEF38" w14:textId="77777777" w:rsidR="00AF1287" w:rsidRPr="009D3648" w:rsidRDefault="00AF1287">
            <w:pPr>
              <w:rPr>
                <w:rFonts w:ascii="Calibri" w:hAnsi="Calibri" w:cs="Calibri"/>
                <w:sz w:val="22"/>
                <w:szCs w:val="22"/>
                <w:lang w:val="en-GB"/>
              </w:rPr>
            </w:pPr>
          </w:p>
        </w:tc>
        <w:tc>
          <w:tcPr>
            <w:tcW w:w="10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CC8E32D" w14:textId="77777777" w:rsidR="00AF1287" w:rsidRPr="009D3648" w:rsidRDefault="00AF1287">
            <w:pPr>
              <w:jc w:val="center"/>
              <w:rPr>
                <w:rFonts w:ascii="Calibri" w:hAnsi="Calibri" w:cs="Calibri"/>
                <w:sz w:val="22"/>
                <w:szCs w:val="22"/>
                <w:lang w:val="en-GB"/>
              </w:rPr>
            </w:pPr>
            <w:r w:rsidRPr="009D3648">
              <w:rPr>
                <w:rFonts w:ascii="Calibri" w:hAnsi="Calibri" w:cs="Calibri"/>
                <w:color w:val="000000"/>
                <w:sz w:val="22"/>
                <w:szCs w:val="22"/>
                <w:lang w:val="en-GB"/>
              </w:rPr>
              <w:t>11.10%</w:t>
            </w:r>
          </w:p>
        </w:tc>
        <w:tc>
          <w:tcPr>
            <w:tcW w:w="10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1C01928" w14:textId="77777777" w:rsidR="00AF1287" w:rsidRPr="009D3648" w:rsidRDefault="00AF1287">
            <w:pPr>
              <w:jc w:val="center"/>
              <w:rPr>
                <w:rFonts w:ascii="Calibri" w:hAnsi="Calibri" w:cs="Calibri"/>
                <w:sz w:val="22"/>
                <w:szCs w:val="22"/>
                <w:lang w:val="en-GB"/>
              </w:rPr>
            </w:pPr>
            <w:r w:rsidRPr="009D3648">
              <w:rPr>
                <w:rFonts w:ascii="Calibri" w:hAnsi="Calibri" w:cs="Calibri"/>
                <w:color w:val="000000"/>
                <w:sz w:val="22"/>
                <w:szCs w:val="22"/>
                <w:lang w:val="en-GB"/>
              </w:rPr>
              <w:t>8.86%</w:t>
            </w:r>
          </w:p>
        </w:tc>
        <w:tc>
          <w:tcPr>
            <w:tcW w:w="4107" w:type="dxa"/>
            <w:gridSpan w:val="6"/>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9A3587B" w14:textId="77777777" w:rsidR="00AF1287" w:rsidRPr="009D3648" w:rsidRDefault="00AF1287">
            <w:pPr>
              <w:rPr>
                <w:rFonts w:ascii="Calibri" w:hAnsi="Calibri" w:cs="Calibri"/>
                <w:sz w:val="22"/>
                <w:szCs w:val="22"/>
                <w:lang w:val="en-GB"/>
              </w:rPr>
            </w:pPr>
          </w:p>
        </w:tc>
      </w:tr>
    </w:tbl>
    <w:p w14:paraId="749834B8" w14:textId="77777777" w:rsidR="00C7275F" w:rsidRPr="009D3648" w:rsidRDefault="00C7275F">
      <w:pPr>
        <w:rPr>
          <w:rFonts w:ascii="Calibri" w:hAnsi="Calibri" w:cs="Calibri"/>
          <w:sz w:val="22"/>
          <w:szCs w:val="22"/>
          <w:lang w:val="en-GB"/>
        </w:rPr>
      </w:pPr>
    </w:p>
    <w:p w14:paraId="3501536B" w14:textId="77777777" w:rsidR="00C7275F" w:rsidRPr="009D3648" w:rsidRDefault="00932CE0" w:rsidP="00AF1287">
      <w:pPr>
        <w:spacing w:before="80" w:after="120"/>
        <w:jc w:val="both"/>
        <w:rPr>
          <w:rFonts w:ascii="Calibri" w:hAnsi="Calibri" w:cs="Calibri"/>
          <w:sz w:val="22"/>
          <w:szCs w:val="22"/>
          <w:lang w:val="en-GB"/>
        </w:rPr>
      </w:pPr>
      <w:r w:rsidRPr="009D3648">
        <w:rPr>
          <w:rFonts w:ascii="Calibri" w:hAnsi="Calibri" w:cs="Calibri"/>
          <w:sz w:val="22"/>
          <w:szCs w:val="22"/>
          <w:lang w:val="en-GB"/>
        </w:rPr>
        <w:lastRenderedPageBreak/>
        <w:t xml:space="preserve">The alignment rate of non-life turnover with the European Taxonomy stands at 6.13% as </w:t>
      </w:r>
      <w:proofErr w:type="gramStart"/>
      <w:r w:rsidRPr="009D3648">
        <w:rPr>
          <w:rFonts w:ascii="Calibri" w:hAnsi="Calibri" w:cs="Calibri"/>
          <w:sz w:val="22"/>
          <w:szCs w:val="22"/>
          <w:lang w:val="en-GB"/>
        </w:rPr>
        <w:t>at</w:t>
      </w:r>
      <w:proofErr w:type="gramEnd"/>
      <w:r w:rsidRPr="009D3648">
        <w:rPr>
          <w:rFonts w:ascii="Calibri" w:hAnsi="Calibri" w:cs="Calibri"/>
          <w:sz w:val="22"/>
          <w:szCs w:val="22"/>
          <w:lang w:val="en-GB"/>
        </w:rPr>
        <w:t xml:space="preserve"> 31 December 2025, against an eligible premium volume of around 11.1%. Groupama therefore achieves 55.2% of its potential contribution to customers’ adaptation to climate change, compared with 46.2% at end-2024 (this contribution is measured as the amount of aligned premiums relative to eligible premiums). The alignment figure is up 2.04 points versus 2024, reflecting the Group’s work on alignment with the technical criteria, notably through the prevention advice provided to our policyholders.</w:t>
      </w:r>
    </w:p>
    <w:p w14:paraId="0EE9F45C" w14:textId="77777777" w:rsidR="00C7275F" w:rsidRPr="009D3648" w:rsidRDefault="00932CE0" w:rsidP="00AF1287">
      <w:pPr>
        <w:spacing w:before="80" w:after="120"/>
        <w:jc w:val="both"/>
        <w:rPr>
          <w:rFonts w:ascii="Calibri" w:hAnsi="Calibri" w:cs="Calibri"/>
          <w:sz w:val="22"/>
          <w:szCs w:val="22"/>
          <w:lang w:val="en-GB"/>
        </w:rPr>
      </w:pPr>
      <w:r w:rsidRPr="009D3648">
        <w:rPr>
          <w:rFonts w:ascii="Calibri" w:hAnsi="Calibri" w:cs="Calibri"/>
          <w:sz w:val="22"/>
          <w:szCs w:val="22"/>
          <w:lang w:val="en-GB"/>
        </w:rPr>
        <w:t>The Taxonomy alignment analysis was based on the five known criteria. At this stage, the crop insurance offering, comprising a climate multi-risk cover, is considered aligned, meeting each of the criteria. The same applies to the “natural catastrophe” guarantees included in Taxonomy-eligible products for the regional mutual insurance banks (</w:t>
      </w:r>
      <w:proofErr w:type="spellStart"/>
      <w:r w:rsidRPr="009D3648">
        <w:rPr>
          <w:rFonts w:ascii="Calibri" w:hAnsi="Calibri" w:cs="Calibri"/>
          <w:sz w:val="22"/>
          <w:szCs w:val="22"/>
          <w:lang w:val="en-GB"/>
        </w:rPr>
        <w:t>caisses</w:t>
      </w:r>
      <w:proofErr w:type="spellEnd"/>
      <w:r w:rsidRPr="009D3648">
        <w:rPr>
          <w:rFonts w:ascii="Calibri" w:hAnsi="Calibri" w:cs="Calibri"/>
          <w:sz w:val="22"/>
          <w:szCs w:val="22"/>
          <w:lang w:val="en-GB"/>
        </w:rPr>
        <w:t xml:space="preserve"> </w:t>
      </w:r>
      <w:proofErr w:type="spellStart"/>
      <w:r w:rsidRPr="009D3648">
        <w:rPr>
          <w:rFonts w:ascii="Calibri" w:hAnsi="Calibri" w:cs="Calibri"/>
          <w:sz w:val="22"/>
          <w:szCs w:val="22"/>
          <w:lang w:val="en-GB"/>
        </w:rPr>
        <w:t>régionales</w:t>
      </w:r>
      <w:proofErr w:type="spellEnd"/>
      <w:r w:rsidRPr="009D3648">
        <w:rPr>
          <w:rFonts w:ascii="Calibri" w:hAnsi="Calibri" w:cs="Calibri"/>
          <w:sz w:val="22"/>
          <w:szCs w:val="22"/>
          <w:lang w:val="en-GB"/>
        </w:rPr>
        <w:t>) and for Gan Assurances since 2025.</w:t>
      </w:r>
    </w:p>
    <w:p w14:paraId="405021A6" w14:textId="77777777" w:rsidR="00C7275F" w:rsidRPr="009D3648" w:rsidRDefault="00932CE0" w:rsidP="00AF1287">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The Group continues to work towards maximising our potential on the climate change adaptation issue, aiming </w:t>
      </w:r>
      <w:proofErr w:type="gramStart"/>
      <w:r w:rsidRPr="009D3648">
        <w:rPr>
          <w:rFonts w:ascii="Calibri" w:hAnsi="Calibri" w:cs="Calibri"/>
          <w:sz w:val="22"/>
          <w:szCs w:val="22"/>
          <w:lang w:val="en-GB"/>
        </w:rPr>
        <w:t>for the amount of</w:t>
      </w:r>
      <w:proofErr w:type="gramEnd"/>
      <w:r w:rsidRPr="009D3648">
        <w:rPr>
          <w:rFonts w:ascii="Calibri" w:hAnsi="Calibri" w:cs="Calibri"/>
          <w:sz w:val="22"/>
          <w:szCs w:val="22"/>
          <w:lang w:val="en-GB"/>
        </w:rPr>
        <w:t xml:space="preserve"> aligned premiums to approach the amount of eligible premiums by 2030.</w:t>
      </w:r>
    </w:p>
    <w:p w14:paraId="1A1B02CE" w14:textId="77777777" w:rsidR="00AF1287" w:rsidRDefault="00AF1287">
      <w:pPr>
        <w:rPr>
          <w:rFonts w:ascii="Calibri" w:hAnsi="Calibri" w:cs="Calibri"/>
          <w:b/>
          <w:bCs/>
          <w:sz w:val="22"/>
          <w:szCs w:val="22"/>
          <w:lang w:val="en-GB"/>
        </w:rPr>
      </w:pPr>
      <w:r>
        <w:rPr>
          <w:rFonts w:ascii="Calibri" w:hAnsi="Calibri" w:cs="Calibri"/>
          <w:b/>
          <w:bCs/>
          <w:sz w:val="22"/>
          <w:szCs w:val="22"/>
          <w:lang w:val="en-GB"/>
        </w:rPr>
        <w:br w:type="page"/>
      </w:r>
    </w:p>
    <w:p w14:paraId="5D27A7EF" w14:textId="54C163B5" w:rsidR="00C7275F" w:rsidRPr="00AF1287" w:rsidRDefault="00932CE0">
      <w:pPr>
        <w:spacing w:before="200" w:after="100"/>
        <w:rPr>
          <w:rFonts w:ascii="Calibri" w:hAnsi="Calibri" w:cs="Calibri"/>
          <w:sz w:val="28"/>
          <w:szCs w:val="28"/>
          <w:u w:val="single"/>
          <w:lang w:val="en-GB"/>
        </w:rPr>
      </w:pPr>
      <w:r w:rsidRPr="00AF1287">
        <w:rPr>
          <w:rFonts w:ascii="Calibri" w:hAnsi="Calibri" w:cs="Calibri"/>
          <w:b/>
          <w:bCs/>
          <w:sz w:val="28"/>
          <w:szCs w:val="28"/>
          <w:u w:val="single"/>
          <w:lang w:val="en-GB"/>
        </w:rPr>
        <w:lastRenderedPageBreak/>
        <w:t>Climate transition plan</w:t>
      </w:r>
    </w:p>
    <w:p w14:paraId="5562525E" w14:textId="77777777" w:rsidR="00C7275F" w:rsidRPr="00F258DB" w:rsidRDefault="00932CE0">
      <w:pPr>
        <w:spacing w:before="120" w:after="60"/>
        <w:rPr>
          <w:rFonts w:ascii="Calibri" w:hAnsi="Calibri" w:cs="Calibri"/>
          <w:sz w:val="22"/>
          <w:szCs w:val="22"/>
          <w:lang w:val="en-GB"/>
        </w:rPr>
      </w:pPr>
      <w:r w:rsidRPr="00F258DB">
        <w:rPr>
          <w:rFonts w:ascii="Calibri" w:hAnsi="Calibri" w:cs="Calibri"/>
          <w:b/>
          <w:bCs/>
          <w:sz w:val="22"/>
          <w:szCs w:val="22"/>
          <w:lang w:val="en-GB"/>
        </w:rPr>
        <w:t>Energy consumption and energy mix</w:t>
      </w:r>
    </w:p>
    <w:p w14:paraId="37FEB21F" w14:textId="77777777" w:rsidR="00C7275F" w:rsidRPr="009D3648" w:rsidRDefault="00932CE0">
      <w:pPr>
        <w:spacing w:before="80" w:after="120"/>
        <w:rPr>
          <w:rFonts w:ascii="Calibri" w:hAnsi="Calibri" w:cs="Calibri"/>
          <w:sz w:val="22"/>
          <w:szCs w:val="22"/>
          <w:lang w:val="en-GB"/>
        </w:rPr>
      </w:pPr>
      <w:r w:rsidRPr="009D3648">
        <w:rPr>
          <w:rFonts w:ascii="Calibri" w:hAnsi="Calibri" w:cs="Calibri"/>
          <w:sz w:val="22"/>
          <w:szCs w:val="22"/>
          <w:lang w:val="en-GB"/>
        </w:rPr>
        <w:t>The table below shows the breakdown of the Group’s operating buildings’ energy consumption by type. In 2025, the Group’s energy consumption fell by around 5,000 MWh, driven mainly by data centre optimisation:</w:t>
      </w:r>
    </w:p>
    <w:tbl>
      <w:tblPr>
        <w:tblW w:w="103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4A0" w:firstRow="1" w:lastRow="0" w:firstColumn="1" w:lastColumn="0" w:noHBand="0" w:noVBand="1"/>
      </w:tblPr>
      <w:tblGrid>
        <w:gridCol w:w="5350"/>
        <w:gridCol w:w="2496"/>
        <w:gridCol w:w="2497"/>
      </w:tblGrid>
      <w:tr w:rsidR="00C7275F" w:rsidRPr="009D3648" w14:paraId="12469B82" w14:textId="77777777" w:rsidTr="00AF1287">
        <w:tblPrEx>
          <w:tblCellMar>
            <w:top w:w="0" w:type="dxa"/>
            <w:bottom w:w="0" w:type="dxa"/>
          </w:tblCellMar>
        </w:tblPrEx>
        <w:tc>
          <w:tcPr>
            <w:tcW w:w="5350" w:type="dxa"/>
            <w:shd w:val="clear" w:color="auto" w:fill="1F4E79"/>
            <w:tcMar>
              <w:top w:w="60" w:type="dxa"/>
              <w:left w:w="100" w:type="dxa"/>
              <w:bottom w:w="60" w:type="dxa"/>
              <w:right w:w="100" w:type="dxa"/>
            </w:tcMar>
            <w:vAlign w:val="center"/>
          </w:tcPr>
          <w:p w14:paraId="41041E29"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Energy consumption and energy mix</w:t>
            </w:r>
          </w:p>
        </w:tc>
        <w:tc>
          <w:tcPr>
            <w:tcW w:w="2496" w:type="dxa"/>
            <w:shd w:val="clear" w:color="auto" w:fill="1F4E79"/>
            <w:tcMar>
              <w:top w:w="60" w:type="dxa"/>
              <w:left w:w="100" w:type="dxa"/>
              <w:bottom w:w="60" w:type="dxa"/>
              <w:right w:w="100" w:type="dxa"/>
            </w:tcMar>
            <w:vAlign w:val="center"/>
          </w:tcPr>
          <w:p w14:paraId="5605EEFF"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2024</w:t>
            </w:r>
          </w:p>
        </w:tc>
        <w:tc>
          <w:tcPr>
            <w:tcW w:w="2497" w:type="dxa"/>
            <w:shd w:val="clear" w:color="auto" w:fill="1F4E79"/>
            <w:tcMar>
              <w:top w:w="60" w:type="dxa"/>
              <w:left w:w="100" w:type="dxa"/>
              <w:bottom w:w="60" w:type="dxa"/>
              <w:right w:w="100" w:type="dxa"/>
            </w:tcMar>
            <w:vAlign w:val="center"/>
          </w:tcPr>
          <w:p w14:paraId="3CAEA040"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2025</w:t>
            </w:r>
          </w:p>
        </w:tc>
      </w:tr>
      <w:tr w:rsidR="00C7275F" w:rsidRPr="009D3648" w14:paraId="6005F3C4" w14:textId="77777777" w:rsidTr="00AF1287">
        <w:tblPrEx>
          <w:tblCellMar>
            <w:top w:w="0" w:type="dxa"/>
            <w:bottom w:w="0" w:type="dxa"/>
          </w:tblCellMar>
        </w:tblPrEx>
        <w:tc>
          <w:tcPr>
            <w:tcW w:w="5350" w:type="dxa"/>
            <w:shd w:val="clear" w:color="auto" w:fill="FFFFFF"/>
            <w:tcMar>
              <w:top w:w="60" w:type="dxa"/>
              <w:left w:w="100" w:type="dxa"/>
              <w:bottom w:w="60" w:type="dxa"/>
              <w:right w:w="100" w:type="dxa"/>
            </w:tcMar>
            <w:vAlign w:val="center"/>
          </w:tcPr>
          <w:p w14:paraId="39C87F0D"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fossil energy consumption (in MWh)</w:t>
            </w:r>
          </w:p>
        </w:tc>
        <w:tc>
          <w:tcPr>
            <w:tcW w:w="2496" w:type="dxa"/>
            <w:shd w:val="clear" w:color="auto" w:fill="FFFFFF"/>
            <w:tcMar>
              <w:top w:w="60" w:type="dxa"/>
              <w:left w:w="100" w:type="dxa"/>
              <w:bottom w:w="60" w:type="dxa"/>
              <w:right w:w="100" w:type="dxa"/>
            </w:tcMar>
            <w:vAlign w:val="center"/>
          </w:tcPr>
          <w:p w14:paraId="5BBEF1BC"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25,101.32</w:t>
            </w:r>
          </w:p>
        </w:tc>
        <w:tc>
          <w:tcPr>
            <w:tcW w:w="2497" w:type="dxa"/>
            <w:shd w:val="clear" w:color="auto" w:fill="FFFFFF"/>
            <w:tcMar>
              <w:top w:w="60" w:type="dxa"/>
              <w:left w:w="100" w:type="dxa"/>
              <w:bottom w:w="60" w:type="dxa"/>
              <w:right w:w="100" w:type="dxa"/>
            </w:tcMar>
            <w:vAlign w:val="center"/>
          </w:tcPr>
          <w:p w14:paraId="474C953C"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23,171.01</w:t>
            </w:r>
          </w:p>
        </w:tc>
      </w:tr>
      <w:tr w:rsidR="00C7275F" w:rsidRPr="009D3648" w14:paraId="6B4731C9" w14:textId="77777777" w:rsidTr="00AF1287">
        <w:tblPrEx>
          <w:tblCellMar>
            <w:top w:w="0" w:type="dxa"/>
            <w:bottom w:w="0" w:type="dxa"/>
          </w:tblCellMar>
        </w:tblPrEx>
        <w:tc>
          <w:tcPr>
            <w:tcW w:w="5350" w:type="dxa"/>
            <w:shd w:val="clear" w:color="auto" w:fill="FFFFFF"/>
            <w:tcMar>
              <w:top w:w="60" w:type="dxa"/>
              <w:left w:w="100" w:type="dxa"/>
              <w:bottom w:w="60" w:type="dxa"/>
              <w:right w:w="100" w:type="dxa"/>
            </w:tcMar>
            <w:vAlign w:val="center"/>
          </w:tcPr>
          <w:p w14:paraId="5F657F4B" w14:textId="77777777" w:rsidR="00C7275F" w:rsidRPr="009D3648" w:rsidRDefault="00932CE0">
            <w:pPr>
              <w:rPr>
                <w:rFonts w:ascii="Calibri" w:hAnsi="Calibri" w:cs="Calibri"/>
                <w:sz w:val="22"/>
                <w:szCs w:val="22"/>
                <w:lang w:val="en-GB"/>
              </w:rPr>
            </w:pPr>
            <w:r w:rsidRPr="009D3648">
              <w:rPr>
                <w:rFonts w:ascii="Calibri" w:hAnsi="Calibri" w:cs="Calibri"/>
                <w:i/>
                <w:iCs/>
                <w:color w:val="000000"/>
                <w:sz w:val="22"/>
                <w:szCs w:val="22"/>
                <w:lang w:val="en-GB"/>
              </w:rPr>
              <w:t>Share of fossil sources in total energy consumption (in %)</w:t>
            </w:r>
          </w:p>
        </w:tc>
        <w:tc>
          <w:tcPr>
            <w:tcW w:w="2496" w:type="dxa"/>
            <w:shd w:val="clear" w:color="auto" w:fill="FFFFFF"/>
            <w:tcMar>
              <w:top w:w="60" w:type="dxa"/>
              <w:left w:w="100" w:type="dxa"/>
              <w:bottom w:w="60" w:type="dxa"/>
              <w:right w:w="100" w:type="dxa"/>
            </w:tcMar>
            <w:vAlign w:val="center"/>
          </w:tcPr>
          <w:p w14:paraId="53D138F6" w14:textId="77777777" w:rsidR="00C7275F" w:rsidRPr="009D3648" w:rsidRDefault="00932CE0">
            <w:pPr>
              <w:jc w:val="center"/>
              <w:rPr>
                <w:rFonts w:ascii="Calibri" w:hAnsi="Calibri" w:cs="Calibri"/>
                <w:sz w:val="22"/>
                <w:szCs w:val="22"/>
                <w:lang w:val="en-GB"/>
              </w:rPr>
            </w:pPr>
            <w:r w:rsidRPr="009D3648">
              <w:rPr>
                <w:rFonts w:ascii="Calibri" w:hAnsi="Calibri" w:cs="Calibri"/>
                <w:i/>
                <w:iCs/>
                <w:color w:val="000000"/>
                <w:sz w:val="22"/>
                <w:szCs w:val="22"/>
                <w:lang w:val="en-GB"/>
              </w:rPr>
              <w:t>26.36%</w:t>
            </w:r>
          </w:p>
        </w:tc>
        <w:tc>
          <w:tcPr>
            <w:tcW w:w="2497" w:type="dxa"/>
            <w:shd w:val="clear" w:color="auto" w:fill="FFFFFF"/>
            <w:tcMar>
              <w:top w:w="60" w:type="dxa"/>
              <w:left w:w="100" w:type="dxa"/>
              <w:bottom w:w="60" w:type="dxa"/>
              <w:right w:w="100" w:type="dxa"/>
            </w:tcMar>
            <w:vAlign w:val="center"/>
          </w:tcPr>
          <w:p w14:paraId="1C83119B" w14:textId="77777777" w:rsidR="00C7275F" w:rsidRPr="009D3648" w:rsidRDefault="00932CE0">
            <w:pPr>
              <w:jc w:val="center"/>
              <w:rPr>
                <w:rFonts w:ascii="Calibri" w:hAnsi="Calibri" w:cs="Calibri"/>
                <w:sz w:val="22"/>
                <w:szCs w:val="22"/>
                <w:lang w:val="en-GB"/>
              </w:rPr>
            </w:pPr>
            <w:r w:rsidRPr="009D3648">
              <w:rPr>
                <w:rFonts w:ascii="Calibri" w:hAnsi="Calibri" w:cs="Calibri"/>
                <w:i/>
                <w:iCs/>
                <w:color w:val="000000"/>
                <w:sz w:val="22"/>
                <w:szCs w:val="22"/>
                <w:lang w:val="en-GB"/>
              </w:rPr>
              <w:t>25.72%</w:t>
            </w:r>
          </w:p>
        </w:tc>
      </w:tr>
      <w:tr w:rsidR="00C7275F" w:rsidRPr="009D3648" w14:paraId="47F0BBF8" w14:textId="77777777" w:rsidTr="00AF1287">
        <w:tblPrEx>
          <w:tblCellMar>
            <w:top w:w="0" w:type="dxa"/>
            <w:bottom w:w="0" w:type="dxa"/>
          </w:tblCellMar>
        </w:tblPrEx>
        <w:tc>
          <w:tcPr>
            <w:tcW w:w="5350" w:type="dxa"/>
            <w:shd w:val="clear" w:color="auto" w:fill="FFFFFF"/>
            <w:tcMar>
              <w:top w:w="60" w:type="dxa"/>
              <w:left w:w="100" w:type="dxa"/>
              <w:bottom w:w="60" w:type="dxa"/>
              <w:right w:w="100" w:type="dxa"/>
            </w:tcMar>
            <w:vAlign w:val="center"/>
          </w:tcPr>
          <w:p w14:paraId="254DDAFE"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Consumption from nuclear sources (in MWh)</w:t>
            </w:r>
          </w:p>
        </w:tc>
        <w:tc>
          <w:tcPr>
            <w:tcW w:w="2496" w:type="dxa"/>
            <w:shd w:val="clear" w:color="auto" w:fill="FFFFFF"/>
            <w:tcMar>
              <w:top w:w="60" w:type="dxa"/>
              <w:left w:w="100" w:type="dxa"/>
              <w:bottom w:w="60" w:type="dxa"/>
              <w:right w:w="100" w:type="dxa"/>
            </w:tcMar>
            <w:vAlign w:val="center"/>
          </w:tcPr>
          <w:p w14:paraId="36D6F633"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47,625.63</w:t>
            </w:r>
          </w:p>
        </w:tc>
        <w:tc>
          <w:tcPr>
            <w:tcW w:w="2497" w:type="dxa"/>
            <w:shd w:val="clear" w:color="auto" w:fill="FFFFFF"/>
            <w:tcMar>
              <w:top w:w="60" w:type="dxa"/>
              <w:left w:w="100" w:type="dxa"/>
              <w:bottom w:w="60" w:type="dxa"/>
              <w:right w:w="100" w:type="dxa"/>
            </w:tcMar>
            <w:vAlign w:val="center"/>
          </w:tcPr>
          <w:p w14:paraId="6FAFD7A5"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45,913.27</w:t>
            </w:r>
          </w:p>
        </w:tc>
      </w:tr>
      <w:tr w:rsidR="00C7275F" w:rsidRPr="009D3648" w14:paraId="410B98DE" w14:textId="77777777" w:rsidTr="00AF1287">
        <w:tblPrEx>
          <w:tblCellMar>
            <w:top w:w="0" w:type="dxa"/>
            <w:bottom w:w="0" w:type="dxa"/>
          </w:tblCellMar>
        </w:tblPrEx>
        <w:tc>
          <w:tcPr>
            <w:tcW w:w="5350" w:type="dxa"/>
            <w:shd w:val="clear" w:color="auto" w:fill="FFFFFF"/>
            <w:tcMar>
              <w:top w:w="60" w:type="dxa"/>
              <w:left w:w="100" w:type="dxa"/>
              <w:bottom w:w="60" w:type="dxa"/>
              <w:right w:w="100" w:type="dxa"/>
            </w:tcMar>
            <w:vAlign w:val="center"/>
          </w:tcPr>
          <w:p w14:paraId="7967E9A3" w14:textId="77777777" w:rsidR="00C7275F" w:rsidRPr="009D3648" w:rsidRDefault="00932CE0">
            <w:pPr>
              <w:rPr>
                <w:rFonts w:ascii="Calibri" w:hAnsi="Calibri" w:cs="Calibri"/>
                <w:sz w:val="22"/>
                <w:szCs w:val="22"/>
                <w:lang w:val="en-GB"/>
              </w:rPr>
            </w:pPr>
            <w:r w:rsidRPr="009D3648">
              <w:rPr>
                <w:rFonts w:ascii="Calibri" w:hAnsi="Calibri" w:cs="Calibri"/>
                <w:i/>
                <w:iCs/>
                <w:color w:val="000000"/>
                <w:sz w:val="22"/>
                <w:szCs w:val="22"/>
                <w:lang w:val="en-GB"/>
              </w:rPr>
              <w:t>Share of consumption from nuclear sources in total energy consumption (in %)</w:t>
            </w:r>
          </w:p>
        </w:tc>
        <w:tc>
          <w:tcPr>
            <w:tcW w:w="2496" w:type="dxa"/>
            <w:shd w:val="clear" w:color="auto" w:fill="FFFFFF"/>
            <w:tcMar>
              <w:top w:w="60" w:type="dxa"/>
              <w:left w:w="100" w:type="dxa"/>
              <w:bottom w:w="60" w:type="dxa"/>
              <w:right w:w="100" w:type="dxa"/>
            </w:tcMar>
            <w:vAlign w:val="center"/>
          </w:tcPr>
          <w:p w14:paraId="227B1C89" w14:textId="77777777" w:rsidR="00C7275F" w:rsidRPr="009D3648" w:rsidRDefault="00932CE0">
            <w:pPr>
              <w:jc w:val="center"/>
              <w:rPr>
                <w:rFonts w:ascii="Calibri" w:hAnsi="Calibri" w:cs="Calibri"/>
                <w:sz w:val="22"/>
                <w:szCs w:val="22"/>
                <w:lang w:val="en-GB"/>
              </w:rPr>
            </w:pPr>
            <w:r w:rsidRPr="009D3648">
              <w:rPr>
                <w:rFonts w:ascii="Calibri" w:hAnsi="Calibri" w:cs="Calibri"/>
                <w:i/>
                <w:iCs/>
                <w:color w:val="000000"/>
                <w:sz w:val="22"/>
                <w:szCs w:val="22"/>
                <w:lang w:val="en-GB"/>
              </w:rPr>
              <w:t>50.02%</w:t>
            </w:r>
          </w:p>
        </w:tc>
        <w:tc>
          <w:tcPr>
            <w:tcW w:w="2497" w:type="dxa"/>
            <w:shd w:val="clear" w:color="auto" w:fill="FFFFFF"/>
            <w:tcMar>
              <w:top w:w="60" w:type="dxa"/>
              <w:left w:w="100" w:type="dxa"/>
              <w:bottom w:w="60" w:type="dxa"/>
              <w:right w:w="100" w:type="dxa"/>
            </w:tcMar>
            <w:vAlign w:val="center"/>
          </w:tcPr>
          <w:p w14:paraId="6802733B" w14:textId="77777777" w:rsidR="00C7275F" w:rsidRPr="009D3648" w:rsidRDefault="00932CE0">
            <w:pPr>
              <w:jc w:val="center"/>
              <w:rPr>
                <w:rFonts w:ascii="Calibri" w:hAnsi="Calibri" w:cs="Calibri"/>
                <w:sz w:val="22"/>
                <w:szCs w:val="22"/>
                <w:lang w:val="en-GB"/>
              </w:rPr>
            </w:pPr>
            <w:r w:rsidRPr="009D3648">
              <w:rPr>
                <w:rFonts w:ascii="Calibri" w:hAnsi="Calibri" w:cs="Calibri"/>
                <w:i/>
                <w:iCs/>
                <w:color w:val="000000"/>
                <w:sz w:val="22"/>
                <w:szCs w:val="22"/>
                <w:lang w:val="en-GB"/>
              </w:rPr>
              <w:t>50.96%</w:t>
            </w:r>
          </w:p>
        </w:tc>
      </w:tr>
      <w:tr w:rsidR="00C7275F" w:rsidRPr="009D3648" w14:paraId="57239F5C" w14:textId="77777777" w:rsidTr="00AF1287">
        <w:tblPrEx>
          <w:tblCellMar>
            <w:top w:w="0" w:type="dxa"/>
            <w:bottom w:w="0" w:type="dxa"/>
          </w:tblCellMar>
        </w:tblPrEx>
        <w:tc>
          <w:tcPr>
            <w:tcW w:w="5350" w:type="dxa"/>
            <w:shd w:val="clear" w:color="auto" w:fill="FFFFFF"/>
            <w:tcMar>
              <w:top w:w="60" w:type="dxa"/>
              <w:left w:w="100" w:type="dxa"/>
              <w:bottom w:w="60" w:type="dxa"/>
              <w:right w:w="100" w:type="dxa"/>
            </w:tcMar>
            <w:vAlign w:val="center"/>
          </w:tcPr>
          <w:p w14:paraId="74F44ED8"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Consumption of fuel from renewable sources, including biomass (in MWh)</w:t>
            </w:r>
          </w:p>
        </w:tc>
        <w:tc>
          <w:tcPr>
            <w:tcW w:w="2496" w:type="dxa"/>
            <w:shd w:val="clear" w:color="auto" w:fill="FFFFFF"/>
            <w:tcMar>
              <w:top w:w="60" w:type="dxa"/>
              <w:left w:w="100" w:type="dxa"/>
              <w:bottom w:w="60" w:type="dxa"/>
              <w:right w:w="100" w:type="dxa"/>
            </w:tcMar>
            <w:vAlign w:val="center"/>
          </w:tcPr>
          <w:p w14:paraId="5B81984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2497" w:type="dxa"/>
            <w:shd w:val="clear" w:color="auto" w:fill="FFFFFF"/>
            <w:tcMar>
              <w:top w:w="60" w:type="dxa"/>
              <w:left w:w="100" w:type="dxa"/>
              <w:bottom w:w="60" w:type="dxa"/>
              <w:right w:w="100" w:type="dxa"/>
            </w:tcMar>
            <w:vAlign w:val="center"/>
          </w:tcPr>
          <w:p w14:paraId="15BB8D2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r>
      <w:tr w:rsidR="00C7275F" w:rsidRPr="009D3648" w14:paraId="33ECF281" w14:textId="77777777" w:rsidTr="00AF1287">
        <w:tblPrEx>
          <w:tblCellMar>
            <w:top w:w="0" w:type="dxa"/>
            <w:bottom w:w="0" w:type="dxa"/>
          </w:tblCellMar>
        </w:tblPrEx>
        <w:tc>
          <w:tcPr>
            <w:tcW w:w="5350" w:type="dxa"/>
            <w:shd w:val="clear" w:color="auto" w:fill="FFFFFF"/>
            <w:tcMar>
              <w:top w:w="60" w:type="dxa"/>
              <w:left w:w="100" w:type="dxa"/>
              <w:bottom w:w="60" w:type="dxa"/>
              <w:right w:w="100" w:type="dxa"/>
            </w:tcMar>
            <w:vAlign w:val="center"/>
          </w:tcPr>
          <w:p w14:paraId="0CA5661D"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Consumption of purchased or acquired electricity, heat, steam and cooling from renewable sources (in MWh)</w:t>
            </w:r>
          </w:p>
        </w:tc>
        <w:tc>
          <w:tcPr>
            <w:tcW w:w="2496" w:type="dxa"/>
            <w:shd w:val="clear" w:color="auto" w:fill="FFFFFF"/>
            <w:tcMar>
              <w:top w:w="60" w:type="dxa"/>
              <w:left w:w="100" w:type="dxa"/>
              <w:bottom w:w="60" w:type="dxa"/>
              <w:right w:w="100" w:type="dxa"/>
            </w:tcMar>
            <w:vAlign w:val="center"/>
          </w:tcPr>
          <w:p w14:paraId="404B2A4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22,491.30</w:t>
            </w:r>
          </w:p>
        </w:tc>
        <w:tc>
          <w:tcPr>
            <w:tcW w:w="2497" w:type="dxa"/>
            <w:shd w:val="clear" w:color="auto" w:fill="FFFFFF"/>
            <w:tcMar>
              <w:top w:w="60" w:type="dxa"/>
              <w:left w:w="100" w:type="dxa"/>
              <w:bottom w:w="60" w:type="dxa"/>
              <w:right w:w="100" w:type="dxa"/>
            </w:tcMar>
            <w:vAlign w:val="center"/>
          </w:tcPr>
          <w:p w14:paraId="1EA17AB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21,016.57</w:t>
            </w:r>
          </w:p>
        </w:tc>
      </w:tr>
      <w:tr w:rsidR="00C7275F" w:rsidRPr="009D3648" w14:paraId="3470E422" w14:textId="77777777" w:rsidTr="00AF1287">
        <w:tblPrEx>
          <w:tblCellMar>
            <w:top w:w="0" w:type="dxa"/>
            <w:bottom w:w="0" w:type="dxa"/>
          </w:tblCellMar>
        </w:tblPrEx>
        <w:tc>
          <w:tcPr>
            <w:tcW w:w="5350" w:type="dxa"/>
            <w:shd w:val="clear" w:color="auto" w:fill="FFFFFF"/>
            <w:tcMar>
              <w:top w:w="60" w:type="dxa"/>
              <w:left w:w="100" w:type="dxa"/>
              <w:bottom w:w="60" w:type="dxa"/>
              <w:right w:w="100" w:type="dxa"/>
            </w:tcMar>
            <w:vAlign w:val="center"/>
          </w:tcPr>
          <w:p w14:paraId="242011A9"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Consumption of self-generated non-fuel renewable energy (in MWh)</w:t>
            </w:r>
          </w:p>
        </w:tc>
        <w:tc>
          <w:tcPr>
            <w:tcW w:w="2496" w:type="dxa"/>
            <w:shd w:val="clear" w:color="auto" w:fill="FFFFFF"/>
            <w:tcMar>
              <w:top w:w="60" w:type="dxa"/>
              <w:left w:w="100" w:type="dxa"/>
              <w:bottom w:w="60" w:type="dxa"/>
              <w:right w:w="100" w:type="dxa"/>
            </w:tcMar>
            <w:vAlign w:val="center"/>
          </w:tcPr>
          <w:p w14:paraId="7D524F3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2497" w:type="dxa"/>
            <w:shd w:val="clear" w:color="auto" w:fill="FFFFFF"/>
            <w:tcMar>
              <w:top w:w="60" w:type="dxa"/>
              <w:left w:w="100" w:type="dxa"/>
              <w:bottom w:w="60" w:type="dxa"/>
              <w:right w:w="100" w:type="dxa"/>
            </w:tcMar>
            <w:vAlign w:val="center"/>
          </w:tcPr>
          <w:p w14:paraId="59B5F47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r>
      <w:tr w:rsidR="00C7275F" w:rsidRPr="009D3648" w14:paraId="5D1118C4" w14:textId="77777777" w:rsidTr="00AF1287">
        <w:tblPrEx>
          <w:tblCellMar>
            <w:top w:w="0" w:type="dxa"/>
            <w:bottom w:w="0" w:type="dxa"/>
          </w:tblCellMar>
        </w:tblPrEx>
        <w:tc>
          <w:tcPr>
            <w:tcW w:w="5350" w:type="dxa"/>
            <w:shd w:val="clear" w:color="auto" w:fill="FFFFFF"/>
            <w:tcMar>
              <w:top w:w="60" w:type="dxa"/>
              <w:left w:w="100" w:type="dxa"/>
              <w:bottom w:w="60" w:type="dxa"/>
              <w:right w:w="100" w:type="dxa"/>
            </w:tcMar>
            <w:vAlign w:val="center"/>
          </w:tcPr>
          <w:p w14:paraId="69ECB0D5"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renewable energy consumption (in MWh)</w:t>
            </w:r>
          </w:p>
        </w:tc>
        <w:tc>
          <w:tcPr>
            <w:tcW w:w="2496" w:type="dxa"/>
            <w:shd w:val="clear" w:color="auto" w:fill="FFFFFF"/>
            <w:tcMar>
              <w:top w:w="60" w:type="dxa"/>
              <w:left w:w="100" w:type="dxa"/>
              <w:bottom w:w="60" w:type="dxa"/>
              <w:right w:w="100" w:type="dxa"/>
            </w:tcMar>
            <w:vAlign w:val="center"/>
          </w:tcPr>
          <w:p w14:paraId="3848DC55"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22,491.30</w:t>
            </w:r>
          </w:p>
        </w:tc>
        <w:tc>
          <w:tcPr>
            <w:tcW w:w="2497" w:type="dxa"/>
            <w:shd w:val="clear" w:color="auto" w:fill="FFFFFF"/>
            <w:tcMar>
              <w:top w:w="60" w:type="dxa"/>
              <w:left w:w="100" w:type="dxa"/>
              <w:bottom w:w="60" w:type="dxa"/>
              <w:right w:w="100" w:type="dxa"/>
            </w:tcMar>
            <w:vAlign w:val="center"/>
          </w:tcPr>
          <w:p w14:paraId="5E39738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21,016.57</w:t>
            </w:r>
          </w:p>
        </w:tc>
      </w:tr>
      <w:tr w:rsidR="00C7275F" w:rsidRPr="009D3648" w14:paraId="7C94EB35" w14:textId="77777777" w:rsidTr="00AF1287">
        <w:tblPrEx>
          <w:tblCellMar>
            <w:top w:w="0" w:type="dxa"/>
            <w:bottom w:w="0" w:type="dxa"/>
          </w:tblCellMar>
        </w:tblPrEx>
        <w:tc>
          <w:tcPr>
            <w:tcW w:w="5350" w:type="dxa"/>
            <w:shd w:val="clear" w:color="auto" w:fill="FFFFFF"/>
            <w:tcMar>
              <w:top w:w="60" w:type="dxa"/>
              <w:left w:w="100" w:type="dxa"/>
              <w:bottom w:w="60" w:type="dxa"/>
              <w:right w:w="100" w:type="dxa"/>
            </w:tcMar>
            <w:vAlign w:val="center"/>
          </w:tcPr>
          <w:p w14:paraId="73F00F89" w14:textId="77777777" w:rsidR="00C7275F" w:rsidRPr="009D3648" w:rsidRDefault="00932CE0">
            <w:pPr>
              <w:rPr>
                <w:rFonts w:ascii="Calibri" w:hAnsi="Calibri" w:cs="Calibri"/>
                <w:sz w:val="22"/>
                <w:szCs w:val="22"/>
                <w:lang w:val="en-GB"/>
              </w:rPr>
            </w:pPr>
            <w:r w:rsidRPr="009D3648">
              <w:rPr>
                <w:rFonts w:ascii="Calibri" w:hAnsi="Calibri" w:cs="Calibri"/>
                <w:i/>
                <w:iCs/>
                <w:color w:val="000000"/>
                <w:sz w:val="22"/>
                <w:szCs w:val="22"/>
                <w:lang w:val="en-GB"/>
              </w:rPr>
              <w:t>Share of renewable sources in total energy consumption (in %)</w:t>
            </w:r>
          </w:p>
        </w:tc>
        <w:tc>
          <w:tcPr>
            <w:tcW w:w="2496" w:type="dxa"/>
            <w:shd w:val="clear" w:color="auto" w:fill="FFFFFF"/>
            <w:tcMar>
              <w:top w:w="60" w:type="dxa"/>
              <w:left w:w="100" w:type="dxa"/>
              <w:bottom w:w="60" w:type="dxa"/>
              <w:right w:w="100" w:type="dxa"/>
            </w:tcMar>
            <w:vAlign w:val="center"/>
          </w:tcPr>
          <w:p w14:paraId="5B90F008" w14:textId="77777777" w:rsidR="00C7275F" w:rsidRPr="009D3648" w:rsidRDefault="00932CE0">
            <w:pPr>
              <w:jc w:val="center"/>
              <w:rPr>
                <w:rFonts w:ascii="Calibri" w:hAnsi="Calibri" w:cs="Calibri"/>
                <w:sz w:val="22"/>
                <w:szCs w:val="22"/>
                <w:lang w:val="en-GB"/>
              </w:rPr>
            </w:pPr>
            <w:r w:rsidRPr="009D3648">
              <w:rPr>
                <w:rFonts w:ascii="Calibri" w:hAnsi="Calibri" w:cs="Calibri"/>
                <w:i/>
                <w:iCs/>
                <w:color w:val="000000"/>
                <w:sz w:val="22"/>
                <w:szCs w:val="22"/>
                <w:lang w:val="en-GB"/>
              </w:rPr>
              <w:t>23.62%</w:t>
            </w:r>
          </w:p>
        </w:tc>
        <w:tc>
          <w:tcPr>
            <w:tcW w:w="2497" w:type="dxa"/>
            <w:shd w:val="clear" w:color="auto" w:fill="FFFFFF"/>
            <w:tcMar>
              <w:top w:w="60" w:type="dxa"/>
              <w:left w:w="100" w:type="dxa"/>
              <w:bottom w:w="60" w:type="dxa"/>
              <w:right w:w="100" w:type="dxa"/>
            </w:tcMar>
            <w:vAlign w:val="center"/>
          </w:tcPr>
          <w:p w14:paraId="62554715" w14:textId="77777777" w:rsidR="00C7275F" w:rsidRPr="009D3648" w:rsidRDefault="00932CE0">
            <w:pPr>
              <w:jc w:val="center"/>
              <w:rPr>
                <w:rFonts w:ascii="Calibri" w:hAnsi="Calibri" w:cs="Calibri"/>
                <w:sz w:val="22"/>
                <w:szCs w:val="22"/>
                <w:lang w:val="en-GB"/>
              </w:rPr>
            </w:pPr>
            <w:r w:rsidRPr="009D3648">
              <w:rPr>
                <w:rFonts w:ascii="Calibri" w:hAnsi="Calibri" w:cs="Calibri"/>
                <w:i/>
                <w:iCs/>
                <w:color w:val="000000"/>
                <w:sz w:val="22"/>
                <w:szCs w:val="22"/>
                <w:lang w:val="en-GB"/>
              </w:rPr>
              <w:t>23.33%</w:t>
            </w:r>
          </w:p>
        </w:tc>
      </w:tr>
      <w:tr w:rsidR="00C7275F" w:rsidRPr="009D3648" w14:paraId="3D1CD0AE" w14:textId="77777777" w:rsidTr="00AF1287">
        <w:tblPrEx>
          <w:tblCellMar>
            <w:top w:w="0" w:type="dxa"/>
            <w:bottom w:w="0" w:type="dxa"/>
          </w:tblCellMar>
        </w:tblPrEx>
        <w:tc>
          <w:tcPr>
            <w:tcW w:w="5350" w:type="dxa"/>
            <w:shd w:val="clear" w:color="auto" w:fill="FFFFFF"/>
            <w:tcMar>
              <w:top w:w="60" w:type="dxa"/>
              <w:left w:w="100" w:type="dxa"/>
              <w:bottom w:w="60" w:type="dxa"/>
              <w:right w:w="100" w:type="dxa"/>
            </w:tcMar>
            <w:vAlign w:val="center"/>
          </w:tcPr>
          <w:p w14:paraId="781056BF"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ENERGY CONSUMPTION (in MWh)</w:t>
            </w:r>
          </w:p>
        </w:tc>
        <w:tc>
          <w:tcPr>
            <w:tcW w:w="2496" w:type="dxa"/>
            <w:shd w:val="clear" w:color="auto" w:fill="FFFFFF"/>
            <w:tcMar>
              <w:top w:w="60" w:type="dxa"/>
              <w:left w:w="100" w:type="dxa"/>
              <w:bottom w:w="60" w:type="dxa"/>
              <w:right w:w="100" w:type="dxa"/>
            </w:tcMar>
            <w:vAlign w:val="center"/>
          </w:tcPr>
          <w:p w14:paraId="25DCDF64"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95,218.26</w:t>
            </w:r>
          </w:p>
        </w:tc>
        <w:tc>
          <w:tcPr>
            <w:tcW w:w="2497" w:type="dxa"/>
            <w:shd w:val="clear" w:color="auto" w:fill="FFFFFF"/>
            <w:tcMar>
              <w:top w:w="60" w:type="dxa"/>
              <w:left w:w="100" w:type="dxa"/>
              <w:bottom w:w="60" w:type="dxa"/>
              <w:right w:w="100" w:type="dxa"/>
            </w:tcMar>
            <w:vAlign w:val="center"/>
          </w:tcPr>
          <w:p w14:paraId="2572B880"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90,100.84</w:t>
            </w:r>
          </w:p>
        </w:tc>
      </w:tr>
    </w:tbl>
    <w:p w14:paraId="157E764F" w14:textId="77777777" w:rsidR="00C7275F" w:rsidRPr="009D3648" w:rsidRDefault="00C7275F">
      <w:pPr>
        <w:rPr>
          <w:rFonts w:ascii="Calibri" w:hAnsi="Calibri" w:cs="Calibri"/>
          <w:sz w:val="22"/>
          <w:szCs w:val="22"/>
          <w:lang w:val="en-GB"/>
        </w:rPr>
      </w:pPr>
    </w:p>
    <w:p w14:paraId="2F8D7909" w14:textId="77777777" w:rsidR="00C7275F" w:rsidRDefault="00932CE0">
      <w:pPr>
        <w:spacing w:before="200" w:after="100"/>
        <w:rPr>
          <w:rFonts w:ascii="Calibri" w:hAnsi="Calibri" w:cs="Calibri"/>
          <w:b/>
          <w:bCs/>
          <w:sz w:val="22"/>
          <w:szCs w:val="22"/>
          <w:lang w:val="en-GB"/>
        </w:rPr>
      </w:pPr>
      <w:r w:rsidRPr="009D3648">
        <w:rPr>
          <w:rFonts w:ascii="Calibri" w:hAnsi="Calibri" w:cs="Calibri"/>
          <w:b/>
          <w:bCs/>
          <w:sz w:val="22"/>
          <w:szCs w:val="22"/>
          <w:lang w:val="en-GB"/>
        </w:rPr>
        <w:t>Gross GHG emissions for Scopes 1, 2 and 3, and total GHG emissions</w:t>
      </w:r>
    </w:p>
    <w:p w14:paraId="38ED3B7F" w14:textId="77777777" w:rsidR="00F258DB" w:rsidRPr="009D3648" w:rsidRDefault="00F258DB" w:rsidP="00F258DB">
      <w:pPr>
        <w:spacing w:before="80" w:after="120"/>
        <w:rPr>
          <w:rFonts w:ascii="Calibri" w:hAnsi="Calibri" w:cs="Calibri"/>
          <w:sz w:val="22"/>
          <w:szCs w:val="22"/>
          <w:lang w:val="en-GB"/>
        </w:rPr>
      </w:pPr>
      <w:r w:rsidRPr="009D3648">
        <w:rPr>
          <w:rFonts w:ascii="Calibri" w:hAnsi="Calibri" w:cs="Calibri"/>
          <w:sz w:val="22"/>
          <w:szCs w:val="22"/>
          <w:lang w:val="en-GB"/>
        </w:rPr>
        <w:t>The Group’s total emissions stood at 4,817 k tCO2eq at end-2025</w:t>
      </w:r>
    </w:p>
    <w:p w14:paraId="00104750" w14:textId="77777777" w:rsidR="00F258DB" w:rsidRPr="009D3648" w:rsidRDefault="00F258DB" w:rsidP="00F258DB">
      <w:pPr>
        <w:spacing w:before="80" w:after="120"/>
        <w:rPr>
          <w:rFonts w:ascii="Calibri" w:hAnsi="Calibri" w:cs="Calibri"/>
          <w:sz w:val="22"/>
          <w:szCs w:val="22"/>
          <w:lang w:val="en-GB"/>
        </w:rPr>
      </w:pPr>
      <w:r w:rsidRPr="009D3648">
        <w:rPr>
          <w:rFonts w:ascii="Calibri" w:hAnsi="Calibri" w:cs="Calibri"/>
          <w:sz w:val="22"/>
          <w:szCs w:val="22"/>
          <w:lang w:val="en-GB"/>
        </w:rPr>
        <w:t>A proforma restatement was carried out for 2024, with a reassessed carbon footprint of 5,871 k tCO2e, which includes investments in sovereign bonds and the revision of certain operating data and parameters.</w:t>
      </w:r>
    </w:p>
    <w:p w14:paraId="0B8C892E" w14:textId="77777777" w:rsidR="00F258DB" w:rsidRPr="009D3648" w:rsidRDefault="00F258DB" w:rsidP="00F258DB">
      <w:pPr>
        <w:spacing w:before="80" w:after="120"/>
        <w:rPr>
          <w:rFonts w:ascii="Calibri" w:hAnsi="Calibri" w:cs="Calibri"/>
          <w:sz w:val="22"/>
          <w:szCs w:val="22"/>
          <w:lang w:val="en-GB"/>
        </w:rPr>
      </w:pPr>
      <w:r w:rsidRPr="009D3648">
        <w:rPr>
          <w:rFonts w:ascii="Calibri" w:hAnsi="Calibri" w:cs="Calibri"/>
          <w:sz w:val="22"/>
          <w:szCs w:val="22"/>
          <w:lang w:val="en-GB"/>
        </w:rPr>
        <w:t>Compared with the GHG emissions reported in last year’s report, the reassessed (proforma) carbon footprint shows a reduction in operational emissions of around -8k tCO2e and an increase in investment emissions of around 3,278k tCO2e.</w:t>
      </w:r>
    </w:p>
    <w:p w14:paraId="29775745" w14:textId="77777777" w:rsidR="00F258DB" w:rsidRPr="009D3648" w:rsidRDefault="00F258DB" w:rsidP="00F258DB">
      <w:pPr>
        <w:spacing w:before="80" w:after="120"/>
        <w:rPr>
          <w:rFonts w:ascii="Calibri" w:hAnsi="Calibri" w:cs="Calibri"/>
          <w:sz w:val="22"/>
          <w:szCs w:val="22"/>
          <w:lang w:val="en-GB"/>
        </w:rPr>
      </w:pPr>
      <w:r w:rsidRPr="009D3648">
        <w:rPr>
          <w:rFonts w:ascii="Calibri" w:hAnsi="Calibri" w:cs="Calibri"/>
          <w:sz w:val="22"/>
          <w:szCs w:val="22"/>
          <w:lang w:val="en-GB"/>
        </w:rPr>
        <w:t>The 1,054k tCO2e reduction between 2024 proforma and 2025 is explained by:</w:t>
      </w:r>
    </w:p>
    <w:p w14:paraId="625BC3FB" w14:textId="77777777" w:rsidR="00F258DB" w:rsidRPr="009D3648" w:rsidRDefault="00F258DB" w:rsidP="00F258DB">
      <w:pPr>
        <w:pStyle w:val="Paragraphedeliste"/>
        <w:numPr>
          <w:ilvl w:val="0"/>
          <w:numId w:val="1"/>
        </w:numPr>
        <w:spacing w:before="40" w:after="40"/>
        <w:rPr>
          <w:rFonts w:ascii="Calibri" w:hAnsi="Calibri" w:cs="Calibri"/>
          <w:sz w:val="22"/>
          <w:szCs w:val="22"/>
          <w:lang w:val="en-GB"/>
        </w:rPr>
      </w:pPr>
      <w:r w:rsidRPr="009D3648">
        <w:rPr>
          <w:rFonts w:ascii="Calibri" w:hAnsi="Calibri" w:cs="Calibri"/>
          <w:sz w:val="22"/>
          <w:szCs w:val="22"/>
          <w:lang w:val="en-GB"/>
        </w:rPr>
        <w:t>An absolute increase of 7k tCO2e in operational emissions (Scope 1, Scope 2 and Scope 3 categories 3-1 to 3-9)</w:t>
      </w:r>
    </w:p>
    <w:p w14:paraId="757A5A9C" w14:textId="77777777" w:rsidR="00F258DB" w:rsidRPr="009D3648" w:rsidRDefault="00F258DB" w:rsidP="00F258DB">
      <w:pPr>
        <w:pStyle w:val="Paragraphedeliste"/>
        <w:numPr>
          <w:ilvl w:val="0"/>
          <w:numId w:val="1"/>
        </w:numPr>
        <w:spacing w:before="40" w:after="40"/>
        <w:rPr>
          <w:rFonts w:ascii="Calibri" w:hAnsi="Calibri" w:cs="Calibri"/>
          <w:sz w:val="22"/>
          <w:szCs w:val="22"/>
          <w:lang w:val="en-GB"/>
        </w:rPr>
      </w:pPr>
      <w:r w:rsidRPr="009D3648">
        <w:rPr>
          <w:rFonts w:ascii="Calibri" w:hAnsi="Calibri" w:cs="Calibri"/>
          <w:sz w:val="22"/>
          <w:szCs w:val="22"/>
          <w:lang w:val="en-GB"/>
        </w:rPr>
        <w:t>A reduction of 116k tCO2e in emissions related to the use of sold products (Scope 3-11)</w:t>
      </w:r>
    </w:p>
    <w:p w14:paraId="71F2F81F" w14:textId="77777777" w:rsidR="00F258DB" w:rsidRPr="009D3648" w:rsidRDefault="00F258DB" w:rsidP="00F258DB">
      <w:pPr>
        <w:pStyle w:val="Paragraphedeliste"/>
        <w:numPr>
          <w:ilvl w:val="0"/>
          <w:numId w:val="1"/>
        </w:numPr>
        <w:spacing w:before="40" w:after="40"/>
        <w:rPr>
          <w:rFonts w:ascii="Calibri" w:hAnsi="Calibri" w:cs="Calibri"/>
          <w:sz w:val="22"/>
          <w:szCs w:val="22"/>
          <w:lang w:val="en-GB"/>
        </w:rPr>
      </w:pPr>
      <w:r w:rsidRPr="009D3648">
        <w:rPr>
          <w:rFonts w:ascii="Calibri" w:hAnsi="Calibri" w:cs="Calibri"/>
          <w:sz w:val="22"/>
          <w:szCs w:val="22"/>
          <w:lang w:val="en-GB"/>
        </w:rPr>
        <w:t>A reduction of 945k tCO2e in emissions related to investments (Scope 3-15)</w:t>
      </w:r>
    </w:p>
    <w:p w14:paraId="792A7955" w14:textId="77777777" w:rsidR="00F258DB" w:rsidRDefault="00F258DB">
      <w:pPr>
        <w:spacing w:before="200" w:after="100"/>
        <w:rPr>
          <w:rFonts w:ascii="Calibri" w:hAnsi="Calibri" w:cs="Calibri"/>
          <w:sz w:val="22"/>
          <w:szCs w:val="22"/>
          <w:lang w:val="en-GB"/>
        </w:rPr>
      </w:pPr>
    </w:p>
    <w:p w14:paraId="6F91D399" w14:textId="77777777" w:rsidR="00F258DB" w:rsidRDefault="00F258DB">
      <w:pPr>
        <w:spacing w:before="200" w:after="100"/>
        <w:rPr>
          <w:rFonts w:ascii="Calibri" w:hAnsi="Calibri" w:cs="Calibri"/>
          <w:sz w:val="22"/>
          <w:szCs w:val="22"/>
          <w:lang w:val="en-GB"/>
        </w:rPr>
      </w:pPr>
    </w:p>
    <w:p w14:paraId="76F18B49" w14:textId="77777777" w:rsidR="00F258DB" w:rsidRDefault="00F258DB">
      <w:pPr>
        <w:spacing w:before="200" w:after="100"/>
        <w:rPr>
          <w:rFonts w:ascii="Calibri" w:hAnsi="Calibri" w:cs="Calibri"/>
          <w:sz w:val="22"/>
          <w:szCs w:val="22"/>
          <w:lang w:val="en-GB"/>
        </w:rPr>
      </w:pPr>
    </w:p>
    <w:p w14:paraId="0922ED05" w14:textId="77777777" w:rsidR="00F258DB" w:rsidRDefault="00F258DB">
      <w:pPr>
        <w:spacing w:before="200" w:after="100"/>
        <w:rPr>
          <w:rFonts w:ascii="Calibri" w:hAnsi="Calibri" w:cs="Calibri"/>
          <w:sz w:val="22"/>
          <w:szCs w:val="22"/>
          <w:lang w:val="en-GB"/>
        </w:rPr>
      </w:pPr>
    </w:p>
    <w:p w14:paraId="35863586" w14:textId="77777777" w:rsidR="00F258DB" w:rsidRPr="009D3648" w:rsidRDefault="00F258DB">
      <w:pPr>
        <w:spacing w:before="200" w:after="100"/>
        <w:rPr>
          <w:rFonts w:ascii="Calibri" w:hAnsi="Calibri" w:cs="Calibri"/>
          <w:sz w:val="22"/>
          <w:szCs w:val="22"/>
          <w:lang w:val="en-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964"/>
        <w:gridCol w:w="709"/>
        <w:gridCol w:w="1134"/>
        <w:gridCol w:w="1134"/>
        <w:gridCol w:w="1134"/>
        <w:gridCol w:w="1134"/>
        <w:gridCol w:w="1134"/>
      </w:tblGrid>
      <w:tr w:rsidR="00F258DB" w:rsidRPr="009D3648" w14:paraId="1C7CEA1B" w14:textId="77777777" w:rsidTr="00F258DB">
        <w:tblPrEx>
          <w:tblCellMar>
            <w:top w:w="0" w:type="dxa"/>
            <w:bottom w:w="0" w:type="dxa"/>
          </w:tblCellMar>
        </w:tblPrEx>
        <w:tc>
          <w:tcPr>
            <w:tcW w:w="396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61691AEB" w14:textId="77777777" w:rsidR="00F258DB" w:rsidRPr="009D3648" w:rsidRDefault="00F258DB">
            <w:pPr>
              <w:jc w:val="center"/>
              <w:rPr>
                <w:rFonts w:ascii="Calibri" w:hAnsi="Calibri" w:cs="Calibri"/>
                <w:sz w:val="22"/>
                <w:szCs w:val="22"/>
                <w:lang w:val="en-GB"/>
              </w:rPr>
            </w:pPr>
          </w:p>
        </w:tc>
        <w:tc>
          <w:tcPr>
            <w:tcW w:w="6379"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183AA29C" w14:textId="77777777" w:rsidR="00F258DB" w:rsidRPr="009D3648" w:rsidRDefault="00F258DB">
            <w:pPr>
              <w:jc w:val="center"/>
              <w:rPr>
                <w:rFonts w:ascii="Calibri" w:hAnsi="Calibri" w:cs="Calibri"/>
                <w:sz w:val="22"/>
                <w:szCs w:val="22"/>
                <w:lang w:val="en-GB"/>
              </w:rPr>
            </w:pPr>
            <w:r w:rsidRPr="009D3648">
              <w:rPr>
                <w:rFonts w:ascii="Calibri" w:hAnsi="Calibri" w:cs="Calibri"/>
                <w:b/>
                <w:bCs/>
                <w:color w:val="FFFFFF"/>
                <w:sz w:val="22"/>
                <w:szCs w:val="22"/>
                <w:lang w:val="en-GB"/>
              </w:rPr>
              <w:t>Milestones and target years</w:t>
            </w:r>
          </w:p>
        </w:tc>
      </w:tr>
      <w:tr w:rsidR="00F258DB" w:rsidRPr="009D3648" w14:paraId="4B906425" w14:textId="77777777" w:rsidTr="00F258DB">
        <w:tblPrEx>
          <w:tblCellMar>
            <w:top w:w="0" w:type="dxa"/>
            <w:bottom w:w="0" w:type="dxa"/>
          </w:tblCellMar>
        </w:tblPrEx>
        <w:tc>
          <w:tcPr>
            <w:tcW w:w="396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F2DC075" w14:textId="77777777" w:rsidR="00F258DB" w:rsidRPr="009D3648" w:rsidRDefault="00F258DB">
            <w:pPr>
              <w:jc w:val="center"/>
              <w:rPr>
                <w:rFonts w:ascii="Calibri" w:hAnsi="Calibri" w:cs="Calibri"/>
                <w:sz w:val="22"/>
                <w:szCs w:val="22"/>
                <w:lang w:val="en-GB"/>
              </w:rPr>
            </w:pP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193D409E" w14:textId="77777777" w:rsidR="00F258DB" w:rsidRPr="009D3648" w:rsidRDefault="00F258DB">
            <w:pPr>
              <w:jc w:val="center"/>
              <w:rPr>
                <w:rFonts w:ascii="Calibri" w:hAnsi="Calibri" w:cs="Calibri"/>
                <w:sz w:val="22"/>
                <w:szCs w:val="22"/>
                <w:lang w:val="en-GB"/>
              </w:rPr>
            </w:pPr>
            <w:r w:rsidRPr="009D3648">
              <w:rPr>
                <w:rFonts w:ascii="Calibri" w:hAnsi="Calibri" w:cs="Calibri"/>
                <w:b/>
                <w:bCs/>
                <w:color w:val="FFFFFF"/>
                <w:sz w:val="22"/>
                <w:szCs w:val="22"/>
                <w:lang w:val="en-GB"/>
              </w:rPr>
              <w:t>Base year</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5DE4A777" w14:textId="77777777" w:rsidR="00F258DB" w:rsidRPr="009D3648" w:rsidRDefault="00F258DB">
            <w:pPr>
              <w:jc w:val="center"/>
              <w:rPr>
                <w:rFonts w:ascii="Calibri" w:hAnsi="Calibri" w:cs="Calibri"/>
                <w:sz w:val="22"/>
                <w:szCs w:val="22"/>
                <w:lang w:val="en-GB"/>
              </w:rPr>
            </w:pPr>
            <w:r w:rsidRPr="009D3648">
              <w:rPr>
                <w:rFonts w:ascii="Calibri" w:hAnsi="Calibri" w:cs="Calibri"/>
                <w:b/>
                <w:bCs/>
                <w:color w:val="FFFFFF"/>
                <w:sz w:val="22"/>
                <w:szCs w:val="22"/>
                <w:lang w:val="en-GB"/>
              </w:rPr>
              <w:t>Comparative year N-1</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27F977AB" w14:textId="77777777" w:rsidR="00F258DB" w:rsidRPr="009D3648" w:rsidRDefault="00F258DB">
            <w:pPr>
              <w:jc w:val="center"/>
              <w:rPr>
                <w:rFonts w:ascii="Calibri" w:hAnsi="Calibri" w:cs="Calibri"/>
                <w:sz w:val="22"/>
                <w:szCs w:val="22"/>
                <w:lang w:val="en-GB"/>
              </w:rPr>
            </w:pPr>
            <w:r w:rsidRPr="009D3648">
              <w:rPr>
                <w:rFonts w:ascii="Calibri" w:hAnsi="Calibri" w:cs="Calibri"/>
                <w:b/>
                <w:bCs/>
                <w:color w:val="FFFFFF"/>
                <w:sz w:val="22"/>
                <w:szCs w:val="22"/>
                <w:lang w:val="en-GB"/>
              </w:rPr>
              <w:t>Year 2024</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2870A321" w14:textId="77777777" w:rsidR="00F258DB" w:rsidRPr="009D3648" w:rsidRDefault="00F258DB">
            <w:pPr>
              <w:jc w:val="center"/>
              <w:rPr>
                <w:rFonts w:ascii="Calibri" w:hAnsi="Calibri" w:cs="Calibri"/>
                <w:sz w:val="22"/>
                <w:szCs w:val="22"/>
                <w:lang w:val="en-GB"/>
              </w:rPr>
            </w:pPr>
            <w:r w:rsidRPr="009D3648">
              <w:rPr>
                <w:rFonts w:ascii="Calibri" w:hAnsi="Calibri" w:cs="Calibri"/>
                <w:b/>
                <w:bCs/>
                <w:color w:val="FFFFFF"/>
                <w:sz w:val="22"/>
                <w:szCs w:val="22"/>
                <w:lang w:val="en-GB"/>
              </w:rPr>
              <w:t>Year 2025</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042EF1D3" w14:textId="77777777" w:rsidR="00F258DB" w:rsidRPr="009D3648" w:rsidRDefault="00F258DB">
            <w:pPr>
              <w:jc w:val="center"/>
              <w:rPr>
                <w:rFonts w:ascii="Calibri" w:hAnsi="Calibri" w:cs="Calibri"/>
                <w:sz w:val="22"/>
                <w:szCs w:val="22"/>
                <w:lang w:val="en-GB"/>
              </w:rPr>
            </w:pPr>
            <w:r w:rsidRPr="009D3648">
              <w:rPr>
                <w:rFonts w:ascii="Calibri" w:hAnsi="Calibri" w:cs="Calibri"/>
                <w:b/>
                <w:bCs/>
                <w:color w:val="FFFFFF"/>
                <w:sz w:val="22"/>
                <w:szCs w:val="22"/>
                <w:lang w:val="en-GB"/>
              </w:rPr>
              <w:t>2030</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17FFCE0C" w14:textId="77777777" w:rsidR="00F258DB" w:rsidRPr="009D3648" w:rsidRDefault="00F258DB">
            <w:pPr>
              <w:jc w:val="center"/>
              <w:rPr>
                <w:rFonts w:ascii="Calibri" w:hAnsi="Calibri" w:cs="Calibri"/>
                <w:sz w:val="22"/>
                <w:szCs w:val="22"/>
                <w:lang w:val="en-GB"/>
              </w:rPr>
            </w:pPr>
            <w:r w:rsidRPr="009D3648">
              <w:rPr>
                <w:rFonts w:ascii="Calibri" w:hAnsi="Calibri" w:cs="Calibri"/>
                <w:b/>
                <w:bCs/>
                <w:color w:val="FFFFFF"/>
                <w:sz w:val="22"/>
                <w:szCs w:val="22"/>
                <w:lang w:val="en-GB"/>
              </w:rPr>
              <w:t>Target % annual/base year</w:t>
            </w:r>
          </w:p>
        </w:tc>
      </w:tr>
      <w:tr w:rsidR="00F258DB" w:rsidRPr="009D3648" w14:paraId="2AF2DA66" w14:textId="77777777" w:rsidTr="00F258DB">
        <w:tblPrEx>
          <w:tblCellMar>
            <w:top w:w="0" w:type="dxa"/>
            <w:bottom w:w="0" w:type="dxa"/>
          </w:tblCellMar>
        </w:tblPrEx>
        <w:tc>
          <w:tcPr>
            <w:tcW w:w="1034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48F64646" w14:textId="1CDC935C" w:rsidR="00F258DB" w:rsidRPr="009D3648" w:rsidRDefault="00F258DB" w:rsidP="00F258DB">
            <w:pPr>
              <w:rPr>
                <w:rFonts w:ascii="Calibri" w:hAnsi="Calibri" w:cs="Calibri"/>
                <w:sz w:val="22"/>
                <w:szCs w:val="22"/>
                <w:lang w:val="en-GB"/>
              </w:rPr>
            </w:pPr>
            <w:r w:rsidRPr="009D3648">
              <w:rPr>
                <w:rFonts w:ascii="Calibri" w:hAnsi="Calibri" w:cs="Calibri"/>
                <w:b/>
                <w:bCs/>
                <w:color w:val="FFFFFF"/>
                <w:sz w:val="22"/>
                <w:szCs w:val="22"/>
                <w:lang w:val="en-GB"/>
              </w:rPr>
              <w:t>Scope 1 GHG emissions</w:t>
            </w:r>
          </w:p>
        </w:tc>
      </w:tr>
      <w:tr w:rsidR="00C7275F" w:rsidRPr="009D3648" w14:paraId="0D7D2FCF"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1B1554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Gross Scope 1 GHG emissions *</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B21063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2019</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CF85721"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E335D1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26,186</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386F58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17,954</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B85078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13,426</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97F236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21.8%</w:t>
            </w:r>
          </w:p>
        </w:tc>
      </w:tr>
      <w:tr w:rsidR="00C7275F" w:rsidRPr="009D3648" w14:paraId="2D21DA97"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69FDD70"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Percentage of Scope 1 GHG emissions from regulated schemes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DFEBED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0ED38C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7A89E09"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AC39465"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C208C7F"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7BA9CE5" w14:textId="77777777" w:rsidR="00C7275F" w:rsidRPr="009D3648" w:rsidRDefault="00C7275F">
            <w:pPr>
              <w:jc w:val="center"/>
              <w:rPr>
                <w:rFonts w:ascii="Calibri" w:hAnsi="Calibri" w:cs="Calibri"/>
                <w:sz w:val="22"/>
                <w:szCs w:val="22"/>
                <w:lang w:val="en-GB"/>
              </w:rPr>
            </w:pPr>
          </w:p>
        </w:tc>
      </w:tr>
      <w:tr w:rsidR="00F258DB" w:rsidRPr="009D3648" w14:paraId="024E3A51" w14:textId="77777777" w:rsidTr="00F258DB">
        <w:tblPrEx>
          <w:tblCellMar>
            <w:top w:w="0" w:type="dxa"/>
            <w:bottom w:w="0" w:type="dxa"/>
          </w:tblCellMar>
        </w:tblPrEx>
        <w:tc>
          <w:tcPr>
            <w:tcW w:w="1034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36053EFD" w14:textId="7FE7DFF8" w:rsidR="00F258DB" w:rsidRPr="009D3648" w:rsidRDefault="00F258DB" w:rsidP="00F258DB">
            <w:pPr>
              <w:rPr>
                <w:rFonts w:ascii="Calibri" w:hAnsi="Calibri" w:cs="Calibri"/>
                <w:sz w:val="22"/>
                <w:szCs w:val="22"/>
                <w:lang w:val="en-GB"/>
              </w:rPr>
            </w:pPr>
            <w:r w:rsidRPr="009D3648">
              <w:rPr>
                <w:rFonts w:ascii="Calibri" w:hAnsi="Calibri" w:cs="Calibri"/>
                <w:b/>
                <w:bCs/>
                <w:color w:val="FFFFFF"/>
                <w:sz w:val="22"/>
                <w:szCs w:val="22"/>
                <w:lang w:val="en-GB"/>
              </w:rPr>
              <w:t>Scope 2 GHG emissions</w:t>
            </w:r>
          </w:p>
        </w:tc>
      </w:tr>
      <w:tr w:rsidR="00C7275F" w:rsidRPr="009D3648" w14:paraId="11C34F79"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E1FF711"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Gross location-based Scope 2 GHG emissions (tCO2eq)</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B55FF2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2019</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D2A3996"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7EFEEC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5,919</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AA9415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5,588</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A3C345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4,854</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2AFEA7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21.8%</w:t>
            </w:r>
          </w:p>
        </w:tc>
      </w:tr>
      <w:tr w:rsidR="00C7275F" w:rsidRPr="009D3648" w14:paraId="4B46F15B"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CCC7FD2"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Gross market-based Scope 2 GHG emissions (tCO2eq)</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C504AD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F550D9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CF7967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3,658</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1539AE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3,238</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F69B986"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5FF395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r>
      <w:tr w:rsidR="00F258DB" w:rsidRPr="009D3648" w14:paraId="2ABA4406" w14:textId="77777777" w:rsidTr="00F258DB">
        <w:tblPrEx>
          <w:tblCellMar>
            <w:top w:w="0" w:type="dxa"/>
            <w:bottom w:w="0" w:type="dxa"/>
          </w:tblCellMar>
        </w:tblPrEx>
        <w:tc>
          <w:tcPr>
            <w:tcW w:w="1034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47A89DCB" w14:textId="39C5FE20" w:rsidR="00F258DB" w:rsidRPr="009D3648" w:rsidRDefault="00F258DB" w:rsidP="00F258DB">
            <w:pPr>
              <w:rPr>
                <w:rFonts w:ascii="Calibri" w:hAnsi="Calibri" w:cs="Calibri"/>
                <w:sz w:val="22"/>
                <w:szCs w:val="22"/>
                <w:lang w:val="en-GB"/>
              </w:rPr>
            </w:pPr>
            <w:r w:rsidRPr="009D3648">
              <w:rPr>
                <w:rFonts w:ascii="Calibri" w:hAnsi="Calibri" w:cs="Calibri"/>
                <w:b/>
                <w:bCs/>
                <w:color w:val="FFFFFF"/>
                <w:sz w:val="22"/>
                <w:szCs w:val="22"/>
                <w:lang w:val="en-GB"/>
              </w:rPr>
              <w:t>Scope 3 GHG emissions</w:t>
            </w:r>
          </w:p>
        </w:tc>
      </w:tr>
      <w:tr w:rsidR="00C7275F" w:rsidRPr="009D3648" w14:paraId="7EC69927"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6D05466"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Total gross indirect (Scope 3) GHG emissions (tCO2eq)</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142AC10"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5CFC7F1"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F36322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5,838,787</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D2E041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4,793,797</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95EBF3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11,885</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2D98B6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r>
      <w:tr w:rsidR="00C7275F" w:rsidRPr="009D3648" w14:paraId="70378A96"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3EE7517"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1 Purchased goods and services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E0EBA04"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602E9F1"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8D5AF2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70,459</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8AC19A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62,714</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D61940E"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379BC4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r>
      <w:tr w:rsidR="00C7275F" w:rsidRPr="009D3648" w14:paraId="6A10F419"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DCC8432"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2 Capital goods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9F834A0"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207BC62"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DD2E8C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69,456</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F38C05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87,136</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F384763"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D17833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r>
      <w:tr w:rsidR="00C7275F" w:rsidRPr="009D3648" w14:paraId="1B62D641"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771423E"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3 Fuel- and energy-related activities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F07123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2019</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D52FC69"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3AA0A9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6,221</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D65BA9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5,516</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2B339D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4,541</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0BF065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21.8%</w:t>
            </w:r>
          </w:p>
        </w:tc>
      </w:tr>
      <w:tr w:rsidR="00C7275F" w:rsidRPr="009D3648" w14:paraId="57D44B5A"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9C23A41"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4 Upstream transportation and distribution</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B41A3C1"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03422A4"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B21CD6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AD21B3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96A364A"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AB188A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r>
      <w:tr w:rsidR="00C7275F" w:rsidRPr="009D3648" w14:paraId="58B62A80"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65BAFFD"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5 Waste generated in operations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67B2CCB"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E721DD8"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AEFC6D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633</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BAC7BC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542</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31642CF"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80DE92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r>
      <w:tr w:rsidR="00C7275F" w:rsidRPr="009D3648" w14:paraId="0845F8C7"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F894637"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6 Business travel *</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057A46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2019</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D4A6633"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A3F6C2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11,635</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E24BB6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10,981</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2374BB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7,343</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E5FB24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21.8%</w:t>
            </w:r>
          </w:p>
        </w:tc>
      </w:tr>
      <w:tr w:rsidR="00C7275F" w:rsidRPr="009D3648" w14:paraId="35D030C3"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F658E41"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7 Employee commuting</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60F5B01"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6233E42"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1183E6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21,909</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A1F83E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25,156</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61450D9"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46E4816" w14:textId="77777777" w:rsidR="00C7275F" w:rsidRPr="009D3648" w:rsidRDefault="00C7275F">
            <w:pPr>
              <w:jc w:val="center"/>
              <w:rPr>
                <w:rFonts w:ascii="Calibri" w:hAnsi="Calibri" w:cs="Calibri"/>
                <w:sz w:val="22"/>
                <w:szCs w:val="22"/>
                <w:lang w:val="en-GB"/>
              </w:rPr>
            </w:pPr>
          </w:p>
        </w:tc>
      </w:tr>
      <w:tr w:rsidR="00C7275F" w:rsidRPr="009D3648" w14:paraId="5184F99B"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EEB683C"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8 Upstream leased assets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80A6C88"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2F29A16"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00E216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925077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C9D7644"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FCEF475" w14:textId="77777777" w:rsidR="00C7275F" w:rsidRPr="009D3648" w:rsidRDefault="00C7275F">
            <w:pPr>
              <w:jc w:val="center"/>
              <w:rPr>
                <w:rFonts w:ascii="Calibri" w:hAnsi="Calibri" w:cs="Calibri"/>
                <w:sz w:val="22"/>
                <w:szCs w:val="22"/>
                <w:lang w:val="en-GB"/>
              </w:rPr>
            </w:pPr>
          </w:p>
        </w:tc>
      </w:tr>
      <w:tr w:rsidR="00C7275F" w:rsidRPr="009D3648" w14:paraId="675BAB0B"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56885A0"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9 Downstream transportation and distribution</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5DB2E8E"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495D8ED"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3AFBFB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859704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4,101</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A34DCC8"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906DD12" w14:textId="77777777" w:rsidR="00C7275F" w:rsidRPr="009D3648" w:rsidRDefault="00C7275F">
            <w:pPr>
              <w:jc w:val="center"/>
              <w:rPr>
                <w:rFonts w:ascii="Calibri" w:hAnsi="Calibri" w:cs="Calibri"/>
                <w:sz w:val="22"/>
                <w:szCs w:val="22"/>
                <w:lang w:val="en-GB"/>
              </w:rPr>
            </w:pPr>
          </w:p>
        </w:tc>
      </w:tr>
      <w:tr w:rsidR="00C7275F" w:rsidRPr="009D3648" w14:paraId="0C2391AF"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2BDA4FB"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10 Processing of sold products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06EFED0"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D322BEF"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8CC366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D501D21"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57A63A9"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34E4115" w14:textId="77777777" w:rsidR="00C7275F" w:rsidRPr="009D3648" w:rsidRDefault="00C7275F">
            <w:pPr>
              <w:jc w:val="center"/>
              <w:rPr>
                <w:rFonts w:ascii="Calibri" w:hAnsi="Calibri" w:cs="Calibri"/>
                <w:sz w:val="22"/>
                <w:szCs w:val="22"/>
                <w:lang w:val="en-GB"/>
              </w:rPr>
            </w:pPr>
          </w:p>
        </w:tc>
      </w:tr>
      <w:tr w:rsidR="00C7275F" w:rsidRPr="009D3648" w14:paraId="55EC2901"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B988BE3"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11 Use of sold products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63B6ED7"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117ECBF"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DE22F88"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793,135</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9464D9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676,889</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91AB9B8"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153C653" w14:textId="77777777" w:rsidR="00C7275F" w:rsidRPr="009D3648" w:rsidRDefault="00C7275F">
            <w:pPr>
              <w:jc w:val="center"/>
              <w:rPr>
                <w:rFonts w:ascii="Calibri" w:hAnsi="Calibri" w:cs="Calibri"/>
                <w:sz w:val="22"/>
                <w:szCs w:val="22"/>
                <w:lang w:val="en-GB"/>
              </w:rPr>
            </w:pPr>
          </w:p>
        </w:tc>
      </w:tr>
      <w:tr w:rsidR="00C7275F" w:rsidRPr="009D3648" w14:paraId="541F9762"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FEDF6CF"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12 End-of-life treatment of sold products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7224F2C"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A441B03"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1CCF54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EEA0DD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422C14F"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45ECE5D" w14:textId="77777777" w:rsidR="00C7275F" w:rsidRPr="009D3648" w:rsidRDefault="00C7275F">
            <w:pPr>
              <w:jc w:val="center"/>
              <w:rPr>
                <w:rFonts w:ascii="Calibri" w:hAnsi="Calibri" w:cs="Calibri"/>
                <w:sz w:val="22"/>
                <w:szCs w:val="22"/>
                <w:lang w:val="en-GB"/>
              </w:rPr>
            </w:pPr>
          </w:p>
        </w:tc>
      </w:tr>
      <w:tr w:rsidR="00C7275F" w:rsidRPr="009D3648" w14:paraId="6B554A28"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AFF5D0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13 Downstream leased assets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1A08187"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595E36B"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24275B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AAB7C6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FD10DE2"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20E5811" w14:textId="77777777" w:rsidR="00C7275F" w:rsidRPr="009D3648" w:rsidRDefault="00C7275F">
            <w:pPr>
              <w:jc w:val="center"/>
              <w:rPr>
                <w:rFonts w:ascii="Calibri" w:hAnsi="Calibri" w:cs="Calibri"/>
                <w:sz w:val="22"/>
                <w:szCs w:val="22"/>
                <w:lang w:val="en-GB"/>
              </w:rPr>
            </w:pPr>
          </w:p>
        </w:tc>
      </w:tr>
      <w:tr w:rsidR="00C7275F" w:rsidRPr="009D3648" w14:paraId="645D24AB"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20AD366"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14 Franchises</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45CB511"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39B0BD0"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E21251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897FCB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9C66513"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B206205" w14:textId="77777777" w:rsidR="00C7275F" w:rsidRPr="009D3648" w:rsidRDefault="00C7275F">
            <w:pPr>
              <w:jc w:val="center"/>
              <w:rPr>
                <w:rFonts w:ascii="Calibri" w:hAnsi="Calibri" w:cs="Calibri"/>
                <w:sz w:val="22"/>
                <w:szCs w:val="22"/>
                <w:lang w:val="en-GB"/>
              </w:rPr>
            </w:pPr>
          </w:p>
        </w:tc>
      </w:tr>
      <w:tr w:rsidR="00C7275F" w:rsidRPr="009D3648" w14:paraId="66A8137A"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4549F91"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15 Investments **</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D7A69A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2021</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C33D553"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B8BD10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4,865,340</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DDFE252"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3,920,762</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0FA54B5"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E90736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21.8%</w:t>
            </w:r>
          </w:p>
        </w:tc>
      </w:tr>
      <w:tr w:rsidR="00F258DB" w:rsidRPr="009D3648" w14:paraId="0EA21E9C" w14:textId="77777777" w:rsidTr="00353786">
        <w:tblPrEx>
          <w:tblCellMar>
            <w:top w:w="0" w:type="dxa"/>
            <w:bottom w:w="0" w:type="dxa"/>
          </w:tblCellMar>
        </w:tblPrEx>
        <w:tc>
          <w:tcPr>
            <w:tcW w:w="1034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4AC3CB7" w14:textId="4837F855" w:rsidR="00F258DB" w:rsidRPr="009D3648" w:rsidRDefault="00F258DB" w:rsidP="00F258DB">
            <w:pPr>
              <w:rPr>
                <w:rFonts w:ascii="Calibri" w:hAnsi="Calibri" w:cs="Calibri"/>
                <w:sz w:val="22"/>
                <w:szCs w:val="22"/>
                <w:lang w:val="en-GB"/>
              </w:rPr>
            </w:pPr>
            <w:r w:rsidRPr="009D3648">
              <w:rPr>
                <w:rFonts w:ascii="Calibri" w:hAnsi="Calibri" w:cs="Calibri"/>
                <w:b/>
                <w:bCs/>
                <w:color w:val="FFFFFF"/>
                <w:sz w:val="22"/>
                <w:szCs w:val="22"/>
                <w:lang w:val="en-GB"/>
              </w:rPr>
              <w:t>Total GHG emissions</w:t>
            </w:r>
          </w:p>
        </w:tc>
      </w:tr>
      <w:tr w:rsidR="00C7275F" w:rsidRPr="009D3648" w14:paraId="254EE394" w14:textId="77777777" w:rsidTr="00F258DB">
        <w:tblPrEx>
          <w:tblCellMar>
            <w:top w:w="0" w:type="dxa"/>
            <w:bottom w:w="0" w:type="dxa"/>
          </w:tblCellMar>
        </w:tblPrEx>
        <w:tc>
          <w:tcPr>
            <w:tcW w:w="3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C7D1053"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Total GHG emissions (location-based) (tCO2eq)</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4E82F32"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A67727F"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DA04A1B"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5,870,892</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947AAB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4,817,339</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D6D6EE5" w14:textId="77777777" w:rsidR="00C7275F" w:rsidRPr="009D3648" w:rsidRDefault="00C7275F">
            <w:pPr>
              <w:jc w:val="center"/>
              <w:rPr>
                <w:rFonts w:ascii="Calibri" w:hAnsi="Calibri" w:cs="Calibri"/>
                <w:sz w:val="22"/>
                <w:szCs w:val="22"/>
                <w:lang w:val="en-GB"/>
              </w:rPr>
            </w:pP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A443269" w14:textId="77777777" w:rsidR="00C7275F" w:rsidRPr="009D3648" w:rsidRDefault="00C7275F">
            <w:pPr>
              <w:jc w:val="center"/>
              <w:rPr>
                <w:rFonts w:ascii="Calibri" w:hAnsi="Calibri" w:cs="Calibri"/>
                <w:sz w:val="22"/>
                <w:szCs w:val="22"/>
                <w:lang w:val="en-GB"/>
              </w:rPr>
            </w:pPr>
          </w:p>
        </w:tc>
      </w:tr>
    </w:tbl>
    <w:p w14:paraId="5E7D5AF0" w14:textId="77777777" w:rsidR="00C7275F" w:rsidRPr="009D3648" w:rsidRDefault="00932CE0">
      <w:pPr>
        <w:spacing w:before="80" w:after="120"/>
        <w:rPr>
          <w:rFonts w:ascii="Calibri" w:hAnsi="Calibri" w:cs="Calibri"/>
          <w:sz w:val="22"/>
          <w:szCs w:val="22"/>
          <w:lang w:val="en-GB"/>
        </w:rPr>
      </w:pPr>
      <w:r w:rsidRPr="009D3648">
        <w:rPr>
          <w:rFonts w:ascii="Calibri" w:hAnsi="Calibri" w:cs="Calibri"/>
          <w:i/>
          <w:iCs/>
          <w:sz w:val="22"/>
          <w:szCs w:val="22"/>
          <w:lang w:val="en-GB"/>
        </w:rPr>
        <w:t>* Reduction target on a partial scope</w:t>
      </w:r>
    </w:p>
    <w:p w14:paraId="0A168F8B" w14:textId="77777777" w:rsidR="00C7275F" w:rsidRPr="009D3648" w:rsidRDefault="00932CE0">
      <w:pPr>
        <w:spacing w:before="80" w:after="120"/>
        <w:rPr>
          <w:rFonts w:ascii="Calibri" w:hAnsi="Calibri" w:cs="Calibri"/>
          <w:sz w:val="22"/>
          <w:szCs w:val="22"/>
          <w:lang w:val="en-GB"/>
        </w:rPr>
      </w:pPr>
      <w:r w:rsidRPr="009D3648">
        <w:rPr>
          <w:rFonts w:ascii="Calibri" w:hAnsi="Calibri" w:cs="Calibri"/>
          <w:i/>
          <w:iCs/>
          <w:sz w:val="22"/>
          <w:szCs w:val="22"/>
          <w:lang w:val="en-GB"/>
        </w:rPr>
        <w:t>** Reduction targets on a partial scope – excluding unit-linked products and sovereign bonds</w:t>
      </w:r>
    </w:p>
    <w:p w14:paraId="1E8D7F9F" w14:textId="77777777" w:rsidR="00C7275F" w:rsidRPr="009D3648" w:rsidRDefault="00C7275F">
      <w:pPr>
        <w:rPr>
          <w:rFonts w:ascii="Calibri" w:hAnsi="Calibri" w:cs="Calibri"/>
          <w:sz w:val="22"/>
          <w:szCs w:val="22"/>
          <w:lang w:val="en-GB"/>
        </w:rPr>
      </w:pPr>
    </w:p>
    <w:p w14:paraId="3DE5BDBC" w14:textId="77777777" w:rsidR="00C7275F" w:rsidRPr="009D3648" w:rsidRDefault="00932CE0" w:rsidP="00F258DB">
      <w:pPr>
        <w:spacing w:before="120" w:after="60"/>
        <w:jc w:val="both"/>
        <w:rPr>
          <w:rFonts w:ascii="Calibri" w:hAnsi="Calibri" w:cs="Calibri"/>
          <w:sz w:val="22"/>
          <w:szCs w:val="22"/>
          <w:lang w:val="en-GB"/>
        </w:rPr>
      </w:pPr>
      <w:r w:rsidRPr="009D3648">
        <w:rPr>
          <w:rFonts w:ascii="Calibri" w:hAnsi="Calibri" w:cs="Calibri"/>
          <w:b/>
          <w:bCs/>
          <w:i/>
          <w:iCs/>
          <w:sz w:val="22"/>
          <w:szCs w:val="22"/>
          <w:lang w:val="en-GB"/>
        </w:rPr>
        <w:t>Scope 1, Scope 2, Scope 3 (3-1 to 3-9)</w:t>
      </w:r>
    </w:p>
    <w:p w14:paraId="31ACA459"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The scope known as “operations” includes the following scopes and sub-scopes:</w:t>
      </w:r>
    </w:p>
    <w:p w14:paraId="4729B602"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Scope 1, Scope 2 and part of Scope 3 (3-1 to 3-9).</w:t>
      </w:r>
    </w:p>
    <w:p w14:paraId="2638561A"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The calculation scope includes all entities under the Group’s operational control, excluding the Croatian subsidiary, whose materiality is extremely limited.</w:t>
      </w:r>
    </w:p>
    <w:p w14:paraId="5A4BE216"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To carry out these calculations since 2019, the Group collects the necessary data using the SCOOP tool (Enablon software). This tool provides siloed access for each entity, which enters its data according to instructions issued by Group Sustainability Management. The tool carries out surface-level checks and checks certain consistency indicators (notably year-on-year variance).</w:t>
      </w:r>
    </w:p>
    <w:p w14:paraId="2C2D3A23"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Emissions for this scope stood at 219.7 ktCO2eq at end-2025, up by around 7 ktCO2eq versus the 2024 proforma, due to several factors:</w:t>
      </w:r>
    </w:p>
    <w:p w14:paraId="5E1C29E1"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An increase in emissions related to capital assets, notably due to the inclusion of the renovation of the Group’s head office, completed in November 2025, and the revision of emission factors applied to new vehicles added to the fleet;</w:t>
      </w:r>
    </w:p>
    <w:p w14:paraId="797F7C6B"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An increase due to the accounting of emissions from non-salaried general agents in France;</w:t>
      </w:r>
    </w:p>
    <w:p w14:paraId="2AD5135A"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A reduction in emissions related to business travel, explained mainly by the greening of the fleet: internal combustion vehicles (diesel and petrol) accounted for 82.5% of the fleet at end-2024, versus 52.1% at end-2025;</w:t>
      </w:r>
    </w:p>
    <w:p w14:paraId="4B542E8C"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An increase in emissions related to employee commuting, driven by an increase in kilometres travelled.</w:t>
      </w:r>
    </w:p>
    <w:p w14:paraId="778A9C4E" w14:textId="77777777" w:rsidR="00C7275F" w:rsidRPr="009D3648" w:rsidRDefault="00C7275F" w:rsidP="00F258DB">
      <w:pPr>
        <w:jc w:val="both"/>
        <w:rPr>
          <w:rFonts w:ascii="Calibri" w:hAnsi="Calibri" w:cs="Calibri"/>
          <w:sz w:val="22"/>
          <w:szCs w:val="22"/>
          <w:lang w:val="en-GB"/>
        </w:rPr>
      </w:pPr>
    </w:p>
    <w:p w14:paraId="1B9B484F" w14:textId="77777777" w:rsidR="00C7275F" w:rsidRPr="009D3648" w:rsidRDefault="00932CE0" w:rsidP="00F258DB">
      <w:pPr>
        <w:spacing w:before="120" w:after="60"/>
        <w:jc w:val="both"/>
        <w:rPr>
          <w:rFonts w:ascii="Calibri" w:hAnsi="Calibri" w:cs="Calibri"/>
          <w:sz w:val="22"/>
          <w:szCs w:val="22"/>
          <w:lang w:val="en-GB"/>
        </w:rPr>
      </w:pPr>
      <w:r w:rsidRPr="009D3648">
        <w:rPr>
          <w:rFonts w:ascii="Calibri" w:hAnsi="Calibri" w:cs="Calibri"/>
          <w:b/>
          <w:bCs/>
          <w:i/>
          <w:iCs/>
          <w:sz w:val="22"/>
          <w:szCs w:val="22"/>
          <w:lang w:val="en-GB"/>
        </w:rPr>
        <w:t>Scope 1:</w:t>
      </w:r>
    </w:p>
    <w:p w14:paraId="2F31CECD"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We </w:t>
      </w:r>
      <w:proofErr w:type="gramStart"/>
      <w:r w:rsidRPr="009D3648">
        <w:rPr>
          <w:rFonts w:ascii="Calibri" w:hAnsi="Calibri" w:cs="Calibri"/>
          <w:sz w:val="22"/>
          <w:szCs w:val="22"/>
          <w:lang w:val="en-GB"/>
        </w:rPr>
        <w:t>take into account</w:t>
      </w:r>
      <w:proofErr w:type="gramEnd"/>
      <w:r w:rsidRPr="009D3648">
        <w:rPr>
          <w:rFonts w:ascii="Calibri" w:hAnsi="Calibri" w:cs="Calibri"/>
          <w:sz w:val="22"/>
          <w:szCs w:val="22"/>
          <w:lang w:val="en-GB"/>
        </w:rPr>
        <w:t xml:space="preserve"> emissions from the following items:</w:t>
      </w:r>
    </w:p>
    <w:p w14:paraId="24D7489E"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Gas (kWh GCV), fuel oil (kWh NCV), travel in owned vehicles (km), refrigerant fluids (kg)</w:t>
      </w:r>
    </w:p>
    <w:p w14:paraId="7209AD70"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Calculation method:</w:t>
      </w:r>
    </w:p>
    <w:p w14:paraId="784F8BEF"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Greenhouse gas emissions are calculated by multiplying activity data by an associated emission factor. The emission factors used come from the ADEME Database, EXIOBASE, the IPCC and SNCF. Scope 1 emissions stood at 18 kt CO2eq at end-2025.</w:t>
      </w:r>
    </w:p>
    <w:p w14:paraId="1EB83F8B" w14:textId="77777777" w:rsidR="00C7275F" w:rsidRPr="009D3648" w:rsidRDefault="00C7275F" w:rsidP="00F258DB">
      <w:pPr>
        <w:jc w:val="both"/>
        <w:rPr>
          <w:rFonts w:ascii="Calibri" w:hAnsi="Calibri" w:cs="Calibri"/>
          <w:sz w:val="22"/>
          <w:szCs w:val="22"/>
          <w:lang w:val="en-GB"/>
        </w:rPr>
      </w:pPr>
    </w:p>
    <w:p w14:paraId="1D6A8ABE" w14:textId="77777777" w:rsidR="00C7275F" w:rsidRPr="009D3648" w:rsidRDefault="00932CE0" w:rsidP="00F258DB">
      <w:pPr>
        <w:spacing w:before="120" w:after="60"/>
        <w:jc w:val="both"/>
        <w:rPr>
          <w:rFonts w:ascii="Calibri" w:hAnsi="Calibri" w:cs="Calibri"/>
          <w:sz w:val="22"/>
          <w:szCs w:val="22"/>
          <w:lang w:val="en-GB"/>
        </w:rPr>
      </w:pPr>
      <w:r w:rsidRPr="009D3648">
        <w:rPr>
          <w:rFonts w:ascii="Calibri" w:hAnsi="Calibri" w:cs="Calibri"/>
          <w:b/>
          <w:bCs/>
          <w:i/>
          <w:iCs/>
          <w:sz w:val="22"/>
          <w:szCs w:val="22"/>
          <w:lang w:val="en-GB"/>
        </w:rPr>
        <w:t>Scope 2:</w:t>
      </w:r>
    </w:p>
    <w:p w14:paraId="1B596D4C"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The Group now carries out both a location-based and a market-based calculation.</w:t>
      </w:r>
    </w:p>
    <w:p w14:paraId="50C2C105"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Emissions from the following items are </w:t>
      </w:r>
      <w:proofErr w:type="gramStart"/>
      <w:r w:rsidRPr="009D3648">
        <w:rPr>
          <w:rFonts w:ascii="Calibri" w:hAnsi="Calibri" w:cs="Calibri"/>
          <w:sz w:val="22"/>
          <w:szCs w:val="22"/>
          <w:lang w:val="en-GB"/>
        </w:rPr>
        <w:t>taken into account</w:t>
      </w:r>
      <w:proofErr w:type="gramEnd"/>
      <w:r w:rsidRPr="009D3648">
        <w:rPr>
          <w:rFonts w:ascii="Calibri" w:hAnsi="Calibri" w:cs="Calibri"/>
          <w:sz w:val="22"/>
          <w:szCs w:val="22"/>
          <w:lang w:val="en-GB"/>
        </w:rPr>
        <w:t>:</w:t>
      </w:r>
    </w:p>
    <w:p w14:paraId="5A73B06F"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Electricity (in kWh), heat (in kWh), chilled water (in kWh)</w:t>
      </w:r>
    </w:p>
    <w:p w14:paraId="23448770"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Calculation method:</w:t>
      </w:r>
    </w:p>
    <w:p w14:paraId="170CA9DC"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Greenhouse gas emissions are calculated by multiplying activity data by an associated emission factor. The emission factors used come from the ADEME Database, EXIOBASE and the IPCC.</w:t>
      </w:r>
    </w:p>
    <w:p w14:paraId="5BDD0C0D"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Location-based Scope 2 emissions stood at 5.6 kt CO2eq at end-2025, a slight decrease versus 2024 (5.6%).</w:t>
      </w:r>
    </w:p>
    <w:p w14:paraId="4A24323A"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Market-based Scope 2 emissions stood at 3.2 kt CO2eq at end-2025. The Group has begun exploring a large-scale move to guarantee-of-origin electricity contracts.</w:t>
      </w:r>
    </w:p>
    <w:p w14:paraId="69A7BD4D" w14:textId="77777777" w:rsidR="00C7275F" w:rsidRDefault="00C7275F" w:rsidP="00F258DB">
      <w:pPr>
        <w:jc w:val="both"/>
        <w:rPr>
          <w:rFonts w:ascii="Calibri" w:hAnsi="Calibri" w:cs="Calibri"/>
          <w:sz w:val="22"/>
          <w:szCs w:val="22"/>
          <w:lang w:val="en-GB"/>
        </w:rPr>
      </w:pPr>
    </w:p>
    <w:p w14:paraId="0020898F" w14:textId="12739D02" w:rsidR="00F258DB" w:rsidRDefault="00F258DB">
      <w:pPr>
        <w:rPr>
          <w:rFonts w:ascii="Calibri" w:hAnsi="Calibri" w:cs="Calibri"/>
          <w:sz w:val="22"/>
          <w:szCs w:val="22"/>
          <w:lang w:val="en-GB"/>
        </w:rPr>
      </w:pPr>
      <w:r>
        <w:rPr>
          <w:rFonts w:ascii="Calibri" w:hAnsi="Calibri" w:cs="Calibri"/>
          <w:sz w:val="22"/>
          <w:szCs w:val="22"/>
          <w:lang w:val="en-GB"/>
        </w:rPr>
        <w:br w:type="page"/>
      </w:r>
    </w:p>
    <w:p w14:paraId="631611D4" w14:textId="421A9FDC" w:rsidR="00C7275F" w:rsidRPr="009D3648" w:rsidRDefault="00F258DB" w:rsidP="00F258DB">
      <w:pPr>
        <w:spacing w:before="120" w:after="60"/>
        <w:jc w:val="both"/>
        <w:rPr>
          <w:rFonts w:ascii="Calibri" w:hAnsi="Calibri" w:cs="Calibri"/>
          <w:sz w:val="22"/>
          <w:szCs w:val="22"/>
          <w:lang w:val="en-GB"/>
        </w:rPr>
      </w:pPr>
      <w:r>
        <w:rPr>
          <w:rFonts w:ascii="Calibri" w:hAnsi="Calibri" w:cs="Calibri"/>
          <w:b/>
          <w:bCs/>
          <w:i/>
          <w:iCs/>
          <w:sz w:val="22"/>
          <w:szCs w:val="22"/>
          <w:lang w:val="en-GB"/>
        </w:rPr>
        <w:lastRenderedPageBreak/>
        <w:t>Sc</w:t>
      </w:r>
      <w:r w:rsidR="00932CE0" w:rsidRPr="009D3648">
        <w:rPr>
          <w:rFonts w:ascii="Calibri" w:hAnsi="Calibri" w:cs="Calibri"/>
          <w:b/>
          <w:bCs/>
          <w:i/>
          <w:iCs/>
          <w:sz w:val="22"/>
          <w:szCs w:val="22"/>
          <w:lang w:val="en-GB"/>
        </w:rPr>
        <w:t>ope 3: Categories 3-1 to 3-9:</w:t>
      </w:r>
    </w:p>
    <w:p w14:paraId="60B6F091"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The items </w:t>
      </w:r>
      <w:proofErr w:type="gramStart"/>
      <w:r w:rsidRPr="009D3648">
        <w:rPr>
          <w:rFonts w:ascii="Calibri" w:hAnsi="Calibri" w:cs="Calibri"/>
          <w:sz w:val="22"/>
          <w:szCs w:val="22"/>
          <w:lang w:val="en-GB"/>
        </w:rPr>
        <w:t>taken into account</w:t>
      </w:r>
      <w:proofErr w:type="gramEnd"/>
      <w:r w:rsidRPr="009D3648">
        <w:rPr>
          <w:rFonts w:ascii="Calibri" w:hAnsi="Calibri" w:cs="Calibri"/>
          <w:sz w:val="22"/>
          <w:szCs w:val="22"/>
          <w:lang w:val="en-GB"/>
        </w:rPr>
        <w:t xml:space="preserve"> are:</w:t>
      </w:r>
    </w:p>
    <w:p w14:paraId="6537E2DC"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Purchased goods and services, capital goods, business travel, waste, employee commuting, and energy not accounted for in Scope 1 or 2. Category 3-9, Downstream transportation and distribution, is calculated on the French scope of non-salaried general agents.</w:t>
      </w:r>
    </w:p>
    <w:p w14:paraId="2C06F940"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Calculation method:</w:t>
      </w:r>
    </w:p>
    <w:p w14:paraId="2294D23C"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Greenhouse gas emissions are calculated by multiplying activity data by an associated (physical or monetary) emission factor. The emission factors used come from the ADEME Database, EXIOBASE, the IPCC and SNCF.</w:t>
      </w:r>
    </w:p>
    <w:p w14:paraId="4252144D"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Emissions in tCO2eq for the sub-scopes </w:t>
      </w:r>
      <w:proofErr w:type="gramStart"/>
      <w:r w:rsidRPr="009D3648">
        <w:rPr>
          <w:rFonts w:ascii="Calibri" w:hAnsi="Calibri" w:cs="Calibri"/>
          <w:sz w:val="22"/>
          <w:szCs w:val="22"/>
          <w:lang w:val="en-GB"/>
        </w:rPr>
        <w:t>taken into account</w:t>
      </w:r>
      <w:proofErr w:type="gramEnd"/>
      <w:r w:rsidRPr="009D3648">
        <w:rPr>
          <w:rFonts w:ascii="Calibri" w:hAnsi="Calibri" w:cs="Calibri"/>
          <w:sz w:val="22"/>
          <w:szCs w:val="22"/>
          <w:lang w:val="en-GB"/>
        </w:rPr>
        <w:t xml:space="preserve"> stood at 196 ktCO2eq at end-2025, up 11.8%.</w:t>
      </w:r>
    </w:p>
    <w:p w14:paraId="61E192E8" w14:textId="77777777" w:rsidR="00C7275F" w:rsidRPr="009D3648" w:rsidRDefault="00C7275F" w:rsidP="00F258DB">
      <w:pPr>
        <w:jc w:val="both"/>
        <w:rPr>
          <w:rFonts w:ascii="Calibri" w:hAnsi="Calibri" w:cs="Calibri"/>
          <w:sz w:val="22"/>
          <w:szCs w:val="22"/>
          <w:lang w:val="en-GB"/>
        </w:rPr>
      </w:pPr>
    </w:p>
    <w:p w14:paraId="25CDAC51" w14:textId="77777777" w:rsidR="00C7275F" w:rsidRPr="009D3648" w:rsidRDefault="00932CE0" w:rsidP="00F258DB">
      <w:pPr>
        <w:spacing w:before="120" w:after="60"/>
        <w:jc w:val="both"/>
        <w:rPr>
          <w:rFonts w:ascii="Calibri" w:hAnsi="Calibri" w:cs="Calibri"/>
          <w:sz w:val="22"/>
          <w:szCs w:val="22"/>
          <w:lang w:val="en-GB"/>
        </w:rPr>
      </w:pPr>
      <w:r w:rsidRPr="009D3648">
        <w:rPr>
          <w:rFonts w:ascii="Calibri" w:hAnsi="Calibri" w:cs="Calibri"/>
          <w:b/>
          <w:bCs/>
          <w:i/>
          <w:iCs/>
          <w:sz w:val="22"/>
          <w:szCs w:val="22"/>
          <w:lang w:val="en-GB"/>
        </w:rPr>
        <w:t>Scope 3-11: Use of sold products</w:t>
      </w:r>
    </w:p>
    <w:p w14:paraId="5E5877B1"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Emissions category 3-11, “Use of sold products”, corresponds to the end use of the goods and services we sell, i.e. emissions related to the performance of insurance contracts arising from the activity of all claims settlement or assistance providers (loss adjusters, repairers, garages, self-employed professionals, doctors, etc.).</w:t>
      </w:r>
    </w:p>
    <w:p w14:paraId="02F49A18"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The assessment covers the scope of the regional mutual insurance banks (</w:t>
      </w:r>
      <w:proofErr w:type="spellStart"/>
      <w:r w:rsidRPr="009D3648">
        <w:rPr>
          <w:rFonts w:ascii="Calibri" w:hAnsi="Calibri" w:cs="Calibri"/>
          <w:sz w:val="22"/>
          <w:szCs w:val="22"/>
          <w:lang w:val="en-GB"/>
        </w:rPr>
        <w:t>caisses</w:t>
      </w:r>
      <w:proofErr w:type="spellEnd"/>
      <w:r w:rsidRPr="009D3648">
        <w:rPr>
          <w:rFonts w:ascii="Calibri" w:hAnsi="Calibri" w:cs="Calibri"/>
          <w:sz w:val="22"/>
          <w:szCs w:val="22"/>
          <w:lang w:val="en-GB"/>
        </w:rPr>
        <w:t xml:space="preserve"> </w:t>
      </w:r>
      <w:proofErr w:type="spellStart"/>
      <w:r w:rsidRPr="009D3648">
        <w:rPr>
          <w:rFonts w:ascii="Calibri" w:hAnsi="Calibri" w:cs="Calibri"/>
          <w:sz w:val="22"/>
          <w:szCs w:val="22"/>
          <w:lang w:val="en-GB"/>
        </w:rPr>
        <w:t>régionales</w:t>
      </w:r>
      <w:proofErr w:type="spellEnd"/>
      <w:r w:rsidRPr="009D3648">
        <w:rPr>
          <w:rFonts w:ascii="Calibri" w:hAnsi="Calibri" w:cs="Calibri"/>
          <w:sz w:val="22"/>
          <w:szCs w:val="22"/>
          <w:lang w:val="en-GB"/>
        </w:rPr>
        <w:t xml:space="preserve">) (excluding Groupama Antilles Guyane) and </w:t>
      </w:r>
      <w:proofErr w:type="gramStart"/>
      <w:r w:rsidRPr="009D3648">
        <w:rPr>
          <w:rFonts w:ascii="Calibri" w:hAnsi="Calibri" w:cs="Calibri"/>
          <w:sz w:val="22"/>
          <w:szCs w:val="22"/>
          <w:lang w:val="en-GB"/>
        </w:rPr>
        <w:t>takes into account</w:t>
      </w:r>
      <w:proofErr w:type="gramEnd"/>
      <w:r w:rsidRPr="009D3648">
        <w:rPr>
          <w:rFonts w:ascii="Calibri" w:hAnsi="Calibri" w:cs="Calibri"/>
          <w:sz w:val="22"/>
          <w:szCs w:val="22"/>
          <w:lang w:val="en-GB"/>
        </w:rPr>
        <w:t xml:space="preserve"> data available at the time.</w:t>
      </w:r>
    </w:p>
    <w:p w14:paraId="7CC8478F"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The assessment enabled us to identify the repair categories and services with the highest greenhouse gas emissions, following the key principles and calculation methodology detailed below.</w:t>
      </w:r>
    </w:p>
    <w:p w14:paraId="2A6E25AD"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Key calculation principles:</w:t>
      </w:r>
    </w:p>
    <w:p w14:paraId="5EA81777"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We followed the key principles recommended by France </w:t>
      </w:r>
      <w:proofErr w:type="spellStart"/>
      <w:r w:rsidRPr="009D3648">
        <w:rPr>
          <w:rFonts w:ascii="Calibri" w:hAnsi="Calibri" w:cs="Calibri"/>
          <w:sz w:val="22"/>
          <w:szCs w:val="22"/>
          <w:lang w:val="en-GB"/>
        </w:rPr>
        <w:t>Assureurs</w:t>
      </w:r>
      <w:proofErr w:type="spellEnd"/>
      <w:r w:rsidRPr="009D3648">
        <w:rPr>
          <w:rFonts w:ascii="Calibri" w:hAnsi="Calibri" w:cs="Calibri"/>
          <w:sz w:val="22"/>
          <w:szCs w:val="22"/>
          <w:lang w:val="en-GB"/>
        </w:rPr>
        <w:t>:</w:t>
      </w:r>
    </w:p>
    <w:p w14:paraId="71992437"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The insurer that manages claims is accountable for the associated emissions, insofar as it has credible levers to reduce these emissions; this is notably the case for Civil Liability.</w:t>
      </w:r>
    </w:p>
    <w:p w14:paraId="1B0F5914"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 xml:space="preserve">The calculation covers only claims management, and, to avoid double counting, emissions related to the use or manufacture of new insured goods are not </w:t>
      </w:r>
      <w:proofErr w:type="gramStart"/>
      <w:r w:rsidRPr="009D3648">
        <w:rPr>
          <w:rFonts w:ascii="Calibri" w:hAnsi="Calibri" w:cs="Calibri"/>
          <w:sz w:val="22"/>
          <w:szCs w:val="22"/>
          <w:lang w:val="en-GB"/>
        </w:rPr>
        <w:t>taken into account</w:t>
      </w:r>
      <w:proofErr w:type="gramEnd"/>
      <w:r w:rsidRPr="009D3648">
        <w:rPr>
          <w:rFonts w:ascii="Calibri" w:hAnsi="Calibri" w:cs="Calibri"/>
          <w:sz w:val="22"/>
          <w:szCs w:val="22"/>
          <w:lang w:val="en-GB"/>
        </w:rPr>
        <w:t>.</w:t>
      </w:r>
    </w:p>
    <w:p w14:paraId="36D91AED"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 xml:space="preserve">Theft cover compensates for the loss of an item in the form of an indemnity rather than financing its replacement, so only emissions related to the assessment are </w:t>
      </w:r>
      <w:proofErr w:type="gramStart"/>
      <w:r w:rsidRPr="009D3648">
        <w:rPr>
          <w:rFonts w:ascii="Calibri" w:hAnsi="Calibri" w:cs="Calibri"/>
          <w:sz w:val="22"/>
          <w:szCs w:val="22"/>
          <w:lang w:val="en-GB"/>
        </w:rPr>
        <w:t>taken into account</w:t>
      </w:r>
      <w:proofErr w:type="gramEnd"/>
      <w:r w:rsidRPr="009D3648">
        <w:rPr>
          <w:rFonts w:ascii="Calibri" w:hAnsi="Calibri" w:cs="Calibri"/>
          <w:sz w:val="22"/>
          <w:szCs w:val="22"/>
          <w:lang w:val="en-GB"/>
        </w:rPr>
        <w:t>.</w:t>
      </w:r>
    </w:p>
    <w:p w14:paraId="41EAB497"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Emissions related to bodily injury repairs present methodological calculation difficulties and are not considered a priority.</w:t>
      </w:r>
    </w:p>
    <w:p w14:paraId="641ECB10"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Greenhouse gas emissions from sold products for 2025 stood at 677 ktCO2e, down on last year. This decrease is explained mainly by changes in emission factors.</w:t>
      </w:r>
    </w:p>
    <w:p w14:paraId="0C610639"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Calculation methodology:</w:t>
      </w:r>
    </w:p>
    <w:p w14:paraId="01387148"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We developed an ad hoc methodology allowing the level of calculation precision to be adapted to data availability, in 5 steps:</w:t>
      </w:r>
    </w:p>
    <w:p w14:paraId="6D5E8FF3"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Step 1: Defining the carbon materiality of accounting activity lines (insurance business sectors)</w:t>
      </w:r>
    </w:p>
    <w:p w14:paraId="5FC55157"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Step 2: Defining the carbon materiality of coverages</w:t>
      </w:r>
    </w:p>
    <w:p w14:paraId="2FCE69EC"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Step 3: Identifying typical cases and sub-cases of coverages</w:t>
      </w:r>
    </w:p>
    <w:p w14:paraId="1CC24B1E"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Step 4: Calculation assumptions based on insurance experts to compute emission factors</w:t>
      </w:r>
    </w:p>
    <w:p w14:paraId="64C88335"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Step 5: Calculating the carbon footprint by applying the emission factors to the various typical cases</w:t>
      </w:r>
    </w:p>
    <w:p w14:paraId="7B5E62C4" w14:textId="77777777" w:rsidR="00C7275F" w:rsidRPr="009D3648" w:rsidRDefault="00C7275F" w:rsidP="00F258DB">
      <w:pPr>
        <w:jc w:val="both"/>
        <w:rPr>
          <w:rFonts w:ascii="Calibri" w:hAnsi="Calibri" w:cs="Calibri"/>
          <w:sz w:val="22"/>
          <w:szCs w:val="22"/>
          <w:lang w:val="en-GB"/>
        </w:rPr>
      </w:pPr>
    </w:p>
    <w:p w14:paraId="6EFFE339" w14:textId="77777777" w:rsidR="00C7275F" w:rsidRPr="009D3648" w:rsidRDefault="00932CE0" w:rsidP="00F258DB">
      <w:pPr>
        <w:spacing w:before="120" w:after="60"/>
        <w:jc w:val="both"/>
        <w:rPr>
          <w:rFonts w:ascii="Calibri" w:hAnsi="Calibri" w:cs="Calibri"/>
          <w:sz w:val="22"/>
          <w:szCs w:val="22"/>
          <w:lang w:val="en-GB"/>
        </w:rPr>
      </w:pPr>
      <w:r w:rsidRPr="009D3648">
        <w:rPr>
          <w:rFonts w:ascii="Calibri" w:hAnsi="Calibri" w:cs="Calibri"/>
          <w:b/>
          <w:bCs/>
          <w:i/>
          <w:iCs/>
          <w:sz w:val="22"/>
          <w:szCs w:val="22"/>
          <w:lang w:val="en-GB"/>
        </w:rPr>
        <w:t>Scope 3-15: Investments</w:t>
      </w:r>
    </w:p>
    <w:p w14:paraId="69BD02CE"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As </w:t>
      </w:r>
      <w:proofErr w:type="gramStart"/>
      <w:r w:rsidRPr="009D3648">
        <w:rPr>
          <w:rFonts w:ascii="Calibri" w:hAnsi="Calibri" w:cs="Calibri"/>
          <w:sz w:val="22"/>
          <w:szCs w:val="22"/>
          <w:lang w:val="en-GB"/>
        </w:rPr>
        <w:t>at</w:t>
      </w:r>
      <w:proofErr w:type="gramEnd"/>
      <w:r w:rsidRPr="009D3648">
        <w:rPr>
          <w:rFonts w:ascii="Calibri" w:hAnsi="Calibri" w:cs="Calibri"/>
          <w:sz w:val="22"/>
          <w:szCs w:val="22"/>
          <w:lang w:val="en-GB"/>
        </w:rPr>
        <w:t xml:space="preserve"> 31 December 2025, financed emissions across all Group entities reached 3,920.8 ktCO2eq for listed corporate bonds and equities, sovereign bonds, real estate assets managed by Groupama Immobilier, and unit-linked products.</w:t>
      </w:r>
    </w:p>
    <w:p w14:paraId="132197D8"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lastRenderedPageBreak/>
        <w:t xml:space="preserve">It should be recalled that only bonds and equities from private issuers were included in our carbon footprint last year. We were therefore able to retrospectively recalculate data relating to sovereign bonds, but this was not possible for real estate due to methodological constraints and data availability. Calculating and consolidating the real estate carbon footprint requires specific tools and additional lead time, meaning that the figures reported at end-2025 in fact correspond to 2024 data. Under these </w:t>
      </w:r>
      <w:r w:rsidRPr="009D3648">
        <w:rPr>
          <w:rFonts w:ascii="Calibri" w:hAnsi="Calibri" w:cs="Calibri"/>
          <w:sz w:val="22"/>
          <w:szCs w:val="22"/>
          <w:lang w:val="en-GB"/>
        </w:rPr>
        <w:t>conditions, the lack of 2023 data limited our ability to establish historical comparisons.</w:t>
      </w:r>
    </w:p>
    <w:p w14:paraId="0ACAE861"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Between 2024 proforma and 2025, the Group’s financed emissions decreased significantly, despite growth in outstanding amounts in certain segments. This decline is structural, driven mainly by allocation decisions and by improvements in the carbon intensity of certain sovereign issuers. Carbon data coverage levels (85% overall) allow for a broadly robust reading, with some limitations for certain asset classes such as listed equities (63%) and real estate (27%), for which coverage is expected to improve in t</w:t>
      </w:r>
      <w:r w:rsidRPr="009D3648">
        <w:rPr>
          <w:rFonts w:ascii="Calibri" w:hAnsi="Calibri" w:cs="Calibri"/>
          <w:sz w:val="22"/>
          <w:szCs w:val="22"/>
          <w:lang w:val="en-GB"/>
        </w:rPr>
        <w:t>he following year.</w:t>
      </w:r>
    </w:p>
    <w:p w14:paraId="2541797A"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More specifically:</w:t>
      </w:r>
    </w:p>
    <w:p w14:paraId="5BDE058D"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On the euro fund scope:</w:t>
      </w:r>
    </w:p>
    <w:p w14:paraId="6F87CFF5" w14:textId="77777777" w:rsidR="00C7275F" w:rsidRPr="009D3648" w:rsidRDefault="00932CE0" w:rsidP="00F258DB">
      <w:pPr>
        <w:pStyle w:val="Paragraphedeliste"/>
        <w:numPr>
          <w:ilvl w:val="1"/>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The carbon footprint related to bonds and equities from private issuers decreased by -181.2 ktCO2eq. This decline stems mainly from a divestment policy targeting the highest-emitting companies. This strategy resulted in the gradual withdrawal from several highly carbon-intensive players, notably in the heavy industry, construction and energy production/distribution sectors.</w:t>
      </w:r>
    </w:p>
    <w:p w14:paraId="4841CCC2" w14:textId="77777777" w:rsidR="00C7275F" w:rsidRPr="009D3648" w:rsidRDefault="00932CE0" w:rsidP="00F258DB">
      <w:pPr>
        <w:pStyle w:val="Paragraphedeliste"/>
        <w:numPr>
          <w:ilvl w:val="1"/>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The carbon footprint associated with sovereign bonds fell by -582.3 ktCO2eq, representing nearly 60% of the total reduction in financed emissions. This trend confirms the central role of this asset class in Groupama’s decarbonisation strategy and is explained by progress within the countries financed and a general decline in national carbon intensities, as well as a reduction in exposure to the asset class.</w:t>
      </w:r>
    </w:p>
    <w:p w14:paraId="1F5917E7"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On the unit-linked scope:</w:t>
      </w:r>
    </w:p>
    <w:p w14:paraId="37F6C233" w14:textId="77777777" w:rsidR="00C7275F" w:rsidRPr="009D3648" w:rsidRDefault="00932CE0" w:rsidP="00F258DB">
      <w:pPr>
        <w:pStyle w:val="Paragraphedeliste"/>
        <w:numPr>
          <w:ilvl w:val="1"/>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The portfolio also recorded a decrease in its carbon footprint, of -185.4 ktCO2eq, despite strong growth in outstanding amounts. As observed for the euro fund, this reduction is explained mainly by divestment from highly carbon-intensive issuers in certain heavily carbon-emitting sectors.</w:t>
      </w:r>
    </w:p>
    <w:p w14:paraId="1084EABC" w14:textId="77777777" w:rsidR="00C7275F" w:rsidRPr="009D3648" w:rsidRDefault="00C7275F">
      <w:pPr>
        <w:rPr>
          <w:rFonts w:ascii="Calibri" w:hAnsi="Calibri" w:cs="Calibri"/>
          <w:sz w:val="22"/>
          <w:szCs w:val="22"/>
          <w:lang w:val="en-G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0"/>
        <w:gridCol w:w="2000"/>
        <w:gridCol w:w="2000"/>
        <w:gridCol w:w="3135"/>
      </w:tblGrid>
      <w:tr w:rsidR="00C7275F" w:rsidRPr="009D3648" w14:paraId="37ABAC94" w14:textId="77777777" w:rsidTr="00F258DB">
        <w:tblPrEx>
          <w:tblCellMar>
            <w:top w:w="0" w:type="dxa"/>
            <w:bottom w:w="0" w:type="dxa"/>
          </w:tblCellMar>
        </w:tblPrEx>
        <w:tc>
          <w:tcPr>
            <w:tcW w:w="1048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562DD75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Monitoring of financed emissions</w:t>
            </w:r>
          </w:p>
        </w:tc>
      </w:tr>
      <w:tr w:rsidR="00C7275F" w:rsidRPr="009D3648" w14:paraId="1D589F1D" w14:textId="77777777" w:rsidTr="00F258DB">
        <w:tblPrEx>
          <w:tblCellMar>
            <w:top w:w="0" w:type="dxa"/>
            <w:bottom w:w="0" w:type="dxa"/>
          </w:tblCellMar>
        </w:tblPrEx>
        <w:tc>
          <w:tcPr>
            <w:tcW w:w="33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50088088"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Emissions financed on the Groupama Euro fund, in t CO2eq</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7137C848"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2024 proforma</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040B5B0F"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2025</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1F4E79"/>
            <w:tcMar>
              <w:top w:w="60" w:type="dxa"/>
              <w:left w:w="100" w:type="dxa"/>
              <w:bottom w:w="60" w:type="dxa"/>
              <w:right w:w="100" w:type="dxa"/>
            </w:tcMar>
            <w:vAlign w:val="center"/>
          </w:tcPr>
          <w:p w14:paraId="42B10D50"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 of assets covered by carbon consumption data in 2025</w:t>
            </w:r>
          </w:p>
        </w:tc>
      </w:tr>
      <w:tr w:rsidR="00C7275F" w:rsidRPr="009D3648" w14:paraId="711FDFDD" w14:textId="77777777" w:rsidTr="00F258DB">
        <w:tblPrEx>
          <w:tblCellMar>
            <w:top w:w="0" w:type="dxa"/>
            <w:bottom w:w="0" w:type="dxa"/>
          </w:tblCellMar>
        </w:tblPrEx>
        <w:tc>
          <w:tcPr>
            <w:tcW w:w="33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BDCE856"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emissions financed on the Euro fund</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4CA0C0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3,957,305</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63D1C4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3,198,179</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172833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86%</w:t>
            </w:r>
          </w:p>
        </w:tc>
      </w:tr>
      <w:tr w:rsidR="00C7275F" w:rsidRPr="009D3648" w14:paraId="0CB493E0" w14:textId="77777777" w:rsidTr="00F258DB">
        <w:tblPrEx>
          <w:tblCellMar>
            <w:top w:w="0" w:type="dxa"/>
            <w:bottom w:w="0" w:type="dxa"/>
          </w:tblCellMar>
        </w:tblPrEx>
        <w:tc>
          <w:tcPr>
            <w:tcW w:w="33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EDC2528"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of which listed corporate bonds</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E8A63C0"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972,582</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6E2165B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786,066</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248C4D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94%</w:t>
            </w:r>
          </w:p>
        </w:tc>
      </w:tr>
      <w:tr w:rsidR="00C7275F" w:rsidRPr="009D3648" w14:paraId="1F8A3CBF" w14:textId="77777777" w:rsidTr="00F258DB">
        <w:tblPrEx>
          <w:tblCellMar>
            <w:top w:w="0" w:type="dxa"/>
            <w:bottom w:w="0" w:type="dxa"/>
          </w:tblCellMar>
        </w:tblPrEx>
        <w:tc>
          <w:tcPr>
            <w:tcW w:w="33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699A017"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of which listed corporate equities</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E9F502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89,950</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0D37C3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95,220</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C50B70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63%</w:t>
            </w:r>
          </w:p>
        </w:tc>
      </w:tr>
      <w:tr w:rsidR="00C7275F" w:rsidRPr="009D3648" w14:paraId="7742477B" w14:textId="77777777" w:rsidTr="00F258DB">
        <w:tblPrEx>
          <w:tblCellMar>
            <w:top w:w="0" w:type="dxa"/>
            <w:bottom w:w="0" w:type="dxa"/>
          </w:tblCellMar>
        </w:tblPrEx>
        <w:tc>
          <w:tcPr>
            <w:tcW w:w="33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5491D84"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of which sovereign bonds</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0FE1849"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2,894,772</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EF67F5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2,312,433</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7180DA44"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97%</w:t>
            </w:r>
          </w:p>
        </w:tc>
      </w:tr>
      <w:tr w:rsidR="00C7275F" w:rsidRPr="009D3648" w14:paraId="2FDD659A" w14:textId="77777777" w:rsidTr="00F258DB">
        <w:tblPrEx>
          <w:tblCellMar>
            <w:top w:w="0" w:type="dxa"/>
            <w:bottom w:w="0" w:type="dxa"/>
          </w:tblCellMar>
        </w:tblPrEx>
        <w:tc>
          <w:tcPr>
            <w:tcW w:w="33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4BD1F5D"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of which real estate assets*</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668F8FF" w14:textId="77777777" w:rsidR="00C7275F" w:rsidRPr="009D3648" w:rsidRDefault="00C7275F">
            <w:pPr>
              <w:jc w:val="center"/>
              <w:rPr>
                <w:rFonts w:ascii="Calibri" w:hAnsi="Calibri" w:cs="Calibri"/>
                <w:sz w:val="22"/>
                <w:szCs w:val="22"/>
                <w:lang w:val="en-GB"/>
              </w:rPr>
            </w:pP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42509A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4,459</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BF1372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27%</w:t>
            </w:r>
          </w:p>
        </w:tc>
      </w:tr>
      <w:tr w:rsidR="00C7275F" w:rsidRPr="009D3648" w14:paraId="0D4F8606" w14:textId="77777777" w:rsidTr="00F258DB">
        <w:tblPrEx>
          <w:tblCellMar>
            <w:top w:w="0" w:type="dxa"/>
            <w:bottom w:w="0" w:type="dxa"/>
          </w:tblCellMar>
        </w:tblPrEx>
        <w:tc>
          <w:tcPr>
            <w:tcW w:w="33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B8F92A5"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emissions financed on unit-linked products</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2DF9ABA5"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908,035</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E3A9B67"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722,583</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09689CA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79%</w:t>
            </w:r>
          </w:p>
        </w:tc>
      </w:tr>
      <w:tr w:rsidR="00C7275F" w:rsidRPr="009D3648" w14:paraId="22D1CFCE" w14:textId="77777777" w:rsidTr="00F258DB">
        <w:tblPrEx>
          <w:tblCellMar>
            <w:top w:w="0" w:type="dxa"/>
            <w:bottom w:w="0" w:type="dxa"/>
          </w:tblCellMar>
        </w:tblPrEx>
        <w:tc>
          <w:tcPr>
            <w:tcW w:w="33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3ED53A3E"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Total Groupama financed emissions</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152840D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4,865,340</w:t>
            </w:r>
          </w:p>
        </w:tc>
        <w:tc>
          <w:tcPr>
            <w:tcW w:w="20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444CCD5A"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3,920,762</w:t>
            </w:r>
          </w:p>
        </w:tc>
        <w:tc>
          <w:tcPr>
            <w:tcW w:w="31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60" w:type="dxa"/>
              <w:left w:w="100" w:type="dxa"/>
              <w:bottom w:w="60" w:type="dxa"/>
              <w:right w:w="100" w:type="dxa"/>
            </w:tcMar>
            <w:vAlign w:val="center"/>
          </w:tcPr>
          <w:p w14:paraId="516ECD9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85%</w:t>
            </w:r>
          </w:p>
        </w:tc>
      </w:tr>
    </w:tbl>
    <w:p w14:paraId="661DE348" w14:textId="77777777" w:rsidR="00C7275F" w:rsidRPr="009D3648" w:rsidRDefault="00C7275F">
      <w:pPr>
        <w:rPr>
          <w:rFonts w:ascii="Calibri" w:hAnsi="Calibri" w:cs="Calibri"/>
          <w:sz w:val="22"/>
          <w:szCs w:val="22"/>
          <w:lang w:val="en-GB"/>
        </w:rPr>
      </w:pPr>
    </w:p>
    <w:p w14:paraId="23A52C02" w14:textId="77777777" w:rsidR="00C7275F" w:rsidRPr="009D3648" w:rsidRDefault="00932CE0" w:rsidP="00F258DB">
      <w:pPr>
        <w:spacing w:before="200" w:after="100"/>
        <w:jc w:val="both"/>
        <w:rPr>
          <w:rFonts w:ascii="Calibri" w:hAnsi="Calibri" w:cs="Calibri"/>
          <w:sz w:val="22"/>
          <w:szCs w:val="22"/>
          <w:lang w:val="en-GB"/>
        </w:rPr>
      </w:pPr>
      <w:r w:rsidRPr="009D3648">
        <w:rPr>
          <w:rFonts w:ascii="Calibri" w:hAnsi="Calibri" w:cs="Calibri"/>
          <w:b/>
          <w:bCs/>
          <w:sz w:val="22"/>
          <w:szCs w:val="22"/>
          <w:lang w:val="en-GB"/>
        </w:rPr>
        <w:t>Carbon sinks of our forests</w:t>
      </w:r>
    </w:p>
    <w:p w14:paraId="1295FCF4"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The Group does not have any GHG absorption and mitigation projects financed through carbon credits. However, Groupama contributes to such projects as part of the management of its forestry assets.</w:t>
      </w:r>
    </w:p>
    <w:p w14:paraId="1F15E746"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Carbon study on Groupama’s forests. Data for 2025:</w:t>
      </w:r>
    </w:p>
    <w:p w14:paraId="2656189C"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lastRenderedPageBreak/>
        <w:t xml:space="preserve">The carbon stock of forests owned by Groupama is growing, thanks to the inclusion, in last year’s assessment scope, of forests owned by Groupama </w:t>
      </w:r>
      <w:proofErr w:type="spellStart"/>
      <w:r w:rsidRPr="009D3648">
        <w:rPr>
          <w:rFonts w:ascii="Calibri" w:hAnsi="Calibri" w:cs="Calibri"/>
          <w:sz w:val="22"/>
          <w:szCs w:val="22"/>
          <w:lang w:val="en-GB"/>
        </w:rPr>
        <w:t>Méditerranée</w:t>
      </w:r>
      <w:proofErr w:type="spellEnd"/>
      <w:r w:rsidRPr="009D3648">
        <w:rPr>
          <w:rFonts w:ascii="Calibri" w:hAnsi="Calibri" w:cs="Calibri"/>
          <w:sz w:val="22"/>
          <w:szCs w:val="22"/>
          <w:lang w:val="en-GB"/>
        </w:rPr>
        <w:t>. Forest carbon stock: 11.89 million tonnes of CO2 (11.01 Mt in 2024), 24,507 ha (of which 22,467 ha owned by the forestry company).</w:t>
      </w:r>
    </w:p>
    <w:p w14:paraId="4FFAEAA5"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Annual increase in stored CO2 (balance between planting and felling + biomass storage): +189.46k tonnes (+196.12k tCO2e in 2024), representing a slowdown in the rate of progression.</w:t>
      </w:r>
    </w:p>
    <w:p w14:paraId="68088AD7"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These results are explained by the updating of the database for certain forests, the increase in felling carried out, and smaller reforested areas.</w:t>
      </w:r>
    </w:p>
    <w:p w14:paraId="2AC33E36"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The effect of these developments is also reflected in the results below:</w:t>
      </w:r>
    </w:p>
    <w:p w14:paraId="1F366ADF"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 xml:space="preserve">CO2 emissions avoided: 57,511k t </w:t>
      </w:r>
      <w:proofErr w:type="gramStart"/>
      <w:r w:rsidRPr="009D3648">
        <w:rPr>
          <w:rFonts w:ascii="Calibri" w:hAnsi="Calibri" w:cs="Calibri"/>
          <w:sz w:val="22"/>
          <w:szCs w:val="22"/>
          <w:lang w:val="en-GB"/>
        </w:rPr>
        <w:t>through the use of</w:t>
      </w:r>
      <w:proofErr w:type="gramEnd"/>
      <w:r w:rsidRPr="009D3648">
        <w:rPr>
          <w:rFonts w:ascii="Calibri" w:hAnsi="Calibri" w:cs="Calibri"/>
          <w:sz w:val="22"/>
          <w:szCs w:val="22"/>
          <w:lang w:val="en-GB"/>
        </w:rPr>
        <w:t xml:space="preserve"> wood sold, vs. 51,724k t in 2024</w:t>
      </w:r>
    </w:p>
    <w:p w14:paraId="05AEAAE8"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CO2 stored in wood products: 35,840k t vs. 29,665k t in 2024</w:t>
      </w:r>
    </w:p>
    <w:p w14:paraId="18DF3B1C" w14:textId="77777777" w:rsidR="00C7275F" w:rsidRPr="009D3648" w:rsidRDefault="00932CE0" w:rsidP="00F258DB">
      <w:pPr>
        <w:pStyle w:val="Paragraphedeliste"/>
        <w:numPr>
          <w:ilvl w:val="0"/>
          <w:numId w:val="1"/>
        </w:numPr>
        <w:spacing w:before="40" w:after="40"/>
        <w:jc w:val="both"/>
        <w:rPr>
          <w:rFonts w:ascii="Calibri" w:hAnsi="Calibri" w:cs="Calibri"/>
          <w:sz w:val="22"/>
          <w:szCs w:val="22"/>
          <w:lang w:val="en-GB"/>
        </w:rPr>
      </w:pPr>
      <w:r w:rsidRPr="009D3648">
        <w:rPr>
          <w:rFonts w:ascii="Calibri" w:hAnsi="Calibri" w:cs="Calibri"/>
          <w:sz w:val="22"/>
          <w:szCs w:val="22"/>
          <w:lang w:val="en-GB"/>
        </w:rPr>
        <w:t>Carbon sequestration of our forests: 482 tCO2/ha of forest, stable versus 2024 following the expansion of the scope.</w:t>
      </w:r>
    </w:p>
    <w:p w14:paraId="46EB56D2"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As a reminder, Groupama has planted 13 million trees in 20 years (1 ha = approximately 1,500 trees).</w:t>
      </w:r>
    </w:p>
    <w:p w14:paraId="4D6E923A" w14:textId="77777777" w:rsidR="00C7275F" w:rsidRPr="009D3648" w:rsidRDefault="00C7275F">
      <w:pPr>
        <w:rPr>
          <w:rFonts w:ascii="Calibri" w:hAnsi="Calibri" w:cs="Calibri"/>
          <w:sz w:val="22"/>
          <w:szCs w:val="22"/>
          <w:lang w:val="en-GB"/>
        </w:rPr>
      </w:pPr>
    </w:p>
    <w:p w14:paraId="50623C41" w14:textId="77777777" w:rsidR="00F258DB" w:rsidRDefault="00F258DB">
      <w:pPr>
        <w:rPr>
          <w:rFonts w:ascii="Calibri" w:hAnsi="Calibri" w:cs="Calibri"/>
          <w:b/>
          <w:bCs/>
          <w:sz w:val="22"/>
          <w:szCs w:val="22"/>
          <w:lang w:val="en-GB"/>
        </w:rPr>
      </w:pPr>
      <w:r>
        <w:rPr>
          <w:rFonts w:ascii="Calibri" w:hAnsi="Calibri" w:cs="Calibri"/>
          <w:b/>
          <w:bCs/>
          <w:sz w:val="22"/>
          <w:szCs w:val="22"/>
          <w:lang w:val="en-GB"/>
        </w:rPr>
        <w:br w:type="page"/>
      </w:r>
    </w:p>
    <w:p w14:paraId="25EC900A" w14:textId="263EC041" w:rsidR="00C7275F" w:rsidRPr="009D3648" w:rsidRDefault="00932CE0" w:rsidP="00F258DB">
      <w:pPr>
        <w:spacing w:before="200" w:after="100"/>
        <w:jc w:val="both"/>
        <w:rPr>
          <w:rFonts w:ascii="Calibri" w:hAnsi="Calibri" w:cs="Calibri"/>
          <w:sz w:val="22"/>
          <w:szCs w:val="22"/>
          <w:lang w:val="en-GB"/>
        </w:rPr>
      </w:pPr>
      <w:r w:rsidRPr="009D3648">
        <w:rPr>
          <w:rFonts w:ascii="Calibri" w:hAnsi="Calibri" w:cs="Calibri"/>
          <w:b/>
          <w:bCs/>
          <w:sz w:val="22"/>
          <w:szCs w:val="22"/>
          <w:lang w:val="en-GB"/>
        </w:rPr>
        <w:lastRenderedPageBreak/>
        <w:t>Group Indicators [strategic indicators]</w:t>
      </w:r>
    </w:p>
    <w:p w14:paraId="7F5EA8B8"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Some of the indicators used to measure our performance on climate change-related issues are not listed among the CSRD indicators. These are metrics used to assess the deployment of our strategy and action plans.</w:t>
      </w:r>
    </w:p>
    <w:p w14:paraId="6D7B99EB"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On the sustainable investment component, and in line with its membership of the NZAOA, the Group had committed to investing €1.2bn over the 2024-2027 period to contribute to achieving carbon neutrality by 2050. This target was reached one year ahead of schedule, based on cumulative environmental and social investments made over the 2024-2025 period (for more details, see the sections “Financing activities with a positive impact on climate” of this standard and “Financing activities with positive social and/</w:t>
      </w:r>
      <w:r w:rsidRPr="009D3648">
        <w:rPr>
          <w:rFonts w:ascii="Calibri" w:hAnsi="Calibri" w:cs="Calibri"/>
          <w:sz w:val="22"/>
          <w:szCs w:val="22"/>
          <w:lang w:val="en-GB"/>
        </w:rPr>
        <w:t>or societal impacts” of standard S2).</w:t>
      </w:r>
    </w:p>
    <w:p w14:paraId="39CCCEF9"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As a result, a new commitment has been set for the 2026-2030 period, covering a total sustainable investment amount of €1.3bn. This target is expressed in net flows, incorporating both inflows and outflows.</w:t>
      </w:r>
    </w:p>
    <w:p w14:paraId="012CF104" w14:textId="77777777" w:rsidR="00C7275F" w:rsidRPr="009D3648" w:rsidRDefault="00932CE0" w:rsidP="00F258DB">
      <w:pPr>
        <w:spacing w:before="80" w:after="120"/>
        <w:jc w:val="both"/>
        <w:rPr>
          <w:rFonts w:ascii="Calibri" w:hAnsi="Calibri" w:cs="Calibri"/>
          <w:sz w:val="22"/>
          <w:szCs w:val="22"/>
          <w:lang w:val="en-GB"/>
        </w:rPr>
      </w:pPr>
      <w:r w:rsidRPr="009D3648">
        <w:rPr>
          <w:rFonts w:ascii="Calibri" w:hAnsi="Calibri" w:cs="Calibri"/>
          <w:sz w:val="22"/>
          <w:szCs w:val="22"/>
          <w:lang w:val="en-GB"/>
        </w:rPr>
        <w:t xml:space="preserve">It should be noted that, given the calculation methodology </w:t>
      </w:r>
      <w:proofErr w:type="gramStart"/>
      <w:r w:rsidRPr="009D3648">
        <w:rPr>
          <w:rFonts w:ascii="Calibri" w:hAnsi="Calibri" w:cs="Calibri"/>
          <w:sz w:val="22"/>
          <w:szCs w:val="22"/>
          <w:lang w:val="en-GB"/>
        </w:rPr>
        <w:t>used</w:t>
      </w:r>
      <w:proofErr w:type="gramEnd"/>
      <w:r w:rsidRPr="009D3648">
        <w:rPr>
          <w:rFonts w:ascii="Calibri" w:hAnsi="Calibri" w:cs="Calibri"/>
          <w:sz w:val="22"/>
          <w:szCs w:val="22"/>
          <w:lang w:val="en-GB"/>
        </w:rPr>
        <w:t xml:space="preserve"> and the negative flows anticipated over the coming years — notably related to green bond maturities — this target corresponds, at this stage, to a positive reinvestment target estimated at nearly €3bn across </w:t>
      </w:r>
      <w:proofErr w:type="gramStart"/>
      <w:r w:rsidRPr="009D3648">
        <w:rPr>
          <w:rFonts w:ascii="Calibri" w:hAnsi="Calibri" w:cs="Calibri"/>
          <w:sz w:val="22"/>
          <w:szCs w:val="22"/>
          <w:lang w:val="en-GB"/>
        </w:rPr>
        <w:t>all of</w:t>
      </w:r>
      <w:proofErr w:type="gramEnd"/>
      <w:r w:rsidRPr="009D3648">
        <w:rPr>
          <w:rFonts w:ascii="Calibri" w:hAnsi="Calibri" w:cs="Calibri"/>
          <w:sz w:val="22"/>
          <w:szCs w:val="22"/>
          <w:lang w:val="en-GB"/>
        </w:rPr>
        <w:t xml:space="preserve"> Groupama’s portfolios.</w:t>
      </w:r>
    </w:p>
    <w:p w14:paraId="3426CFAA" w14:textId="77777777" w:rsidR="00C7275F" w:rsidRPr="009D3648" w:rsidRDefault="00C7275F">
      <w:pPr>
        <w:rPr>
          <w:rFonts w:ascii="Calibri" w:hAnsi="Calibri" w:cs="Calibri"/>
          <w:sz w:val="22"/>
          <w:szCs w:val="22"/>
          <w:lang w:val="en-GB"/>
        </w:rPr>
      </w:pPr>
    </w:p>
    <w:p w14:paraId="4FF982DA" w14:textId="77777777" w:rsidR="00C7275F" w:rsidRPr="009D3648" w:rsidRDefault="00932CE0">
      <w:pPr>
        <w:spacing w:before="120" w:after="60"/>
        <w:rPr>
          <w:rFonts w:ascii="Calibri" w:hAnsi="Calibri" w:cs="Calibri"/>
          <w:sz w:val="22"/>
          <w:szCs w:val="22"/>
          <w:lang w:val="en-GB"/>
        </w:rPr>
      </w:pPr>
      <w:r w:rsidRPr="009D3648">
        <w:rPr>
          <w:rFonts w:ascii="Calibri" w:hAnsi="Calibri" w:cs="Calibri"/>
          <w:b/>
          <w:bCs/>
          <w:i/>
          <w:iCs/>
          <w:sz w:val="22"/>
          <w:szCs w:val="22"/>
          <w:lang w:val="en-GB"/>
        </w:rPr>
        <w:t>Focus area: Investments and retirement savings products that serve tomorrow’s world</w:t>
      </w: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4A0" w:firstRow="1" w:lastRow="0" w:firstColumn="1" w:lastColumn="0" w:noHBand="0" w:noVBand="1"/>
      </w:tblPr>
      <w:tblGrid>
        <w:gridCol w:w="1480"/>
        <w:gridCol w:w="2334"/>
        <w:gridCol w:w="1286"/>
        <w:gridCol w:w="1286"/>
        <w:gridCol w:w="1287"/>
        <w:gridCol w:w="2812"/>
      </w:tblGrid>
      <w:tr w:rsidR="00C7275F" w:rsidRPr="009D3648" w14:paraId="37229EEE" w14:textId="77777777" w:rsidTr="00F258DB">
        <w:tblPrEx>
          <w:tblCellMar>
            <w:top w:w="0" w:type="dxa"/>
            <w:bottom w:w="0" w:type="dxa"/>
          </w:tblCellMar>
        </w:tblPrEx>
        <w:tc>
          <w:tcPr>
            <w:tcW w:w="1480" w:type="dxa"/>
            <w:shd w:val="clear" w:color="auto" w:fill="1F4E79"/>
            <w:tcMar>
              <w:top w:w="60" w:type="dxa"/>
              <w:left w:w="100" w:type="dxa"/>
              <w:bottom w:w="60" w:type="dxa"/>
              <w:right w:w="100" w:type="dxa"/>
            </w:tcMar>
            <w:vAlign w:val="center"/>
          </w:tcPr>
          <w:p w14:paraId="321DBF39"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Issue</w:t>
            </w:r>
          </w:p>
        </w:tc>
        <w:tc>
          <w:tcPr>
            <w:tcW w:w="2334" w:type="dxa"/>
            <w:shd w:val="clear" w:color="auto" w:fill="1F4E79"/>
            <w:tcMar>
              <w:top w:w="60" w:type="dxa"/>
              <w:left w:w="100" w:type="dxa"/>
              <w:bottom w:w="60" w:type="dxa"/>
              <w:right w:w="100" w:type="dxa"/>
            </w:tcMar>
            <w:vAlign w:val="center"/>
          </w:tcPr>
          <w:p w14:paraId="3A3DBD95"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Indicator</w:t>
            </w:r>
          </w:p>
        </w:tc>
        <w:tc>
          <w:tcPr>
            <w:tcW w:w="1286" w:type="dxa"/>
            <w:shd w:val="clear" w:color="auto" w:fill="1F4E79"/>
            <w:tcMar>
              <w:top w:w="60" w:type="dxa"/>
              <w:left w:w="100" w:type="dxa"/>
              <w:bottom w:w="60" w:type="dxa"/>
              <w:right w:w="100" w:type="dxa"/>
            </w:tcMar>
            <w:vAlign w:val="center"/>
          </w:tcPr>
          <w:p w14:paraId="6D9EC8BB"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Actual 2024</w:t>
            </w:r>
          </w:p>
        </w:tc>
        <w:tc>
          <w:tcPr>
            <w:tcW w:w="1286" w:type="dxa"/>
            <w:shd w:val="clear" w:color="auto" w:fill="1F4E79"/>
            <w:tcMar>
              <w:top w:w="60" w:type="dxa"/>
              <w:left w:w="100" w:type="dxa"/>
              <w:bottom w:w="60" w:type="dxa"/>
              <w:right w:w="100" w:type="dxa"/>
            </w:tcMar>
            <w:vAlign w:val="center"/>
          </w:tcPr>
          <w:p w14:paraId="7F879255"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Actual 2025</w:t>
            </w:r>
          </w:p>
        </w:tc>
        <w:tc>
          <w:tcPr>
            <w:tcW w:w="1287" w:type="dxa"/>
            <w:shd w:val="clear" w:color="auto" w:fill="1F4E79"/>
            <w:tcMar>
              <w:top w:w="60" w:type="dxa"/>
              <w:left w:w="100" w:type="dxa"/>
              <w:bottom w:w="60" w:type="dxa"/>
              <w:right w:w="100" w:type="dxa"/>
            </w:tcMar>
            <w:vAlign w:val="center"/>
          </w:tcPr>
          <w:p w14:paraId="0F05D65F"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Target 2030</w:t>
            </w:r>
          </w:p>
        </w:tc>
        <w:tc>
          <w:tcPr>
            <w:tcW w:w="2812" w:type="dxa"/>
            <w:shd w:val="clear" w:color="auto" w:fill="1F4E79"/>
            <w:tcMar>
              <w:top w:w="60" w:type="dxa"/>
              <w:left w:w="100" w:type="dxa"/>
              <w:bottom w:w="60" w:type="dxa"/>
              <w:right w:w="100" w:type="dxa"/>
            </w:tcMar>
            <w:vAlign w:val="center"/>
          </w:tcPr>
          <w:p w14:paraId="6DFDA7F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Comments</w:t>
            </w:r>
          </w:p>
        </w:tc>
      </w:tr>
      <w:tr w:rsidR="00C7275F" w:rsidRPr="009D3648" w14:paraId="1E795906" w14:textId="77777777" w:rsidTr="00F258DB">
        <w:tblPrEx>
          <w:tblCellMar>
            <w:top w:w="0" w:type="dxa"/>
            <w:bottom w:w="0" w:type="dxa"/>
          </w:tblCellMar>
        </w:tblPrEx>
        <w:tc>
          <w:tcPr>
            <w:tcW w:w="1480" w:type="dxa"/>
            <w:vMerge w:val="restart"/>
            <w:shd w:val="clear" w:color="auto" w:fill="FFFFFF"/>
            <w:tcMar>
              <w:top w:w="60" w:type="dxa"/>
              <w:left w:w="100" w:type="dxa"/>
              <w:bottom w:w="60" w:type="dxa"/>
              <w:right w:w="100" w:type="dxa"/>
            </w:tcMar>
            <w:vAlign w:val="center"/>
          </w:tcPr>
          <w:p w14:paraId="4637DA6A"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Reducing the carbon intensity of our investments</w:t>
            </w:r>
          </w:p>
        </w:tc>
        <w:tc>
          <w:tcPr>
            <w:tcW w:w="2334" w:type="dxa"/>
            <w:shd w:val="clear" w:color="auto" w:fill="FFFFFF"/>
            <w:tcMar>
              <w:top w:w="60" w:type="dxa"/>
              <w:left w:w="100" w:type="dxa"/>
              <w:bottom w:w="60" w:type="dxa"/>
              <w:right w:w="100" w:type="dxa"/>
            </w:tcMar>
            <w:vAlign w:val="center"/>
          </w:tcPr>
          <w:p w14:paraId="67C2F90F"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 reduction in the carbon intensity of equity and private bond investments for Scopes 1 &amp; 2 versus 2021</w:t>
            </w:r>
          </w:p>
        </w:tc>
        <w:tc>
          <w:tcPr>
            <w:tcW w:w="1286" w:type="dxa"/>
            <w:shd w:val="clear" w:color="auto" w:fill="FFFFFF"/>
            <w:tcMar>
              <w:top w:w="60" w:type="dxa"/>
              <w:left w:w="100" w:type="dxa"/>
              <w:bottom w:w="60" w:type="dxa"/>
              <w:right w:w="100" w:type="dxa"/>
            </w:tcMar>
            <w:vAlign w:val="center"/>
          </w:tcPr>
          <w:p w14:paraId="3DD9AB83"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-60%</w:t>
            </w:r>
          </w:p>
        </w:tc>
        <w:tc>
          <w:tcPr>
            <w:tcW w:w="1286" w:type="dxa"/>
            <w:shd w:val="clear" w:color="auto" w:fill="FFFFFF"/>
            <w:tcMar>
              <w:top w:w="60" w:type="dxa"/>
              <w:left w:w="100" w:type="dxa"/>
              <w:bottom w:w="60" w:type="dxa"/>
              <w:right w:w="100" w:type="dxa"/>
            </w:tcMar>
            <w:vAlign w:val="center"/>
          </w:tcPr>
          <w:p w14:paraId="62958C1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-64.8%</w:t>
            </w:r>
          </w:p>
        </w:tc>
        <w:tc>
          <w:tcPr>
            <w:tcW w:w="1287" w:type="dxa"/>
            <w:shd w:val="clear" w:color="auto" w:fill="FFFFFF"/>
            <w:tcMar>
              <w:top w:w="60" w:type="dxa"/>
              <w:left w:w="100" w:type="dxa"/>
              <w:bottom w:w="60" w:type="dxa"/>
              <w:right w:w="100" w:type="dxa"/>
            </w:tcMar>
            <w:vAlign w:val="center"/>
          </w:tcPr>
          <w:p w14:paraId="1E2D385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-65%</w:t>
            </w:r>
          </w:p>
        </w:tc>
        <w:tc>
          <w:tcPr>
            <w:tcW w:w="2812" w:type="dxa"/>
            <w:vMerge w:val="restart"/>
            <w:shd w:val="clear" w:color="auto" w:fill="FFFFFF"/>
            <w:tcMar>
              <w:top w:w="60" w:type="dxa"/>
              <w:left w:w="100" w:type="dxa"/>
              <w:bottom w:w="60" w:type="dxa"/>
              <w:right w:w="100" w:type="dxa"/>
            </w:tcMar>
            <w:vAlign w:val="center"/>
          </w:tcPr>
          <w:p w14:paraId="47D70220"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See the decarbonisation levers section “given our role as an investor” above.</w:t>
            </w:r>
          </w:p>
        </w:tc>
      </w:tr>
      <w:tr w:rsidR="00C7275F" w:rsidRPr="009D3648" w14:paraId="6196A3DB" w14:textId="77777777" w:rsidTr="00F258DB">
        <w:tblPrEx>
          <w:tblCellMar>
            <w:top w:w="0" w:type="dxa"/>
            <w:bottom w:w="0" w:type="dxa"/>
          </w:tblCellMar>
        </w:tblPrEx>
        <w:tc>
          <w:tcPr>
            <w:tcW w:w="0" w:type="auto"/>
            <w:vMerge/>
          </w:tcPr>
          <w:p w14:paraId="3058F507" w14:textId="77777777" w:rsidR="00C7275F" w:rsidRPr="009D3648" w:rsidRDefault="00C7275F">
            <w:pPr>
              <w:rPr>
                <w:rFonts w:ascii="Calibri" w:hAnsi="Calibri" w:cs="Calibri"/>
                <w:sz w:val="22"/>
                <w:szCs w:val="22"/>
                <w:lang w:val="en-GB"/>
              </w:rPr>
            </w:pPr>
          </w:p>
        </w:tc>
        <w:tc>
          <w:tcPr>
            <w:tcW w:w="2334" w:type="dxa"/>
            <w:shd w:val="clear" w:color="auto" w:fill="FFFFFF"/>
            <w:tcMar>
              <w:top w:w="60" w:type="dxa"/>
              <w:left w:w="100" w:type="dxa"/>
              <w:bottom w:w="60" w:type="dxa"/>
              <w:right w:w="100" w:type="dxa"/>
            </w:tcMar>
            <w:vAlign w:val="center"/>
          </w:tcPr>
          <w:p w14:paraId="5FBCC9B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Difference between the carbon intensity of directly held office real estate assets with actual data and the CRREM pathway value (kgCO2e/m</w:t>
            </w:r>
            <w:proofErr w:type="gramStart"/>
            <w:r w:rsidRPr="009D3648">
              <w:rPr>
                <w:rFonts w:ascii="Calibri" w:hAnsi="Calibri" w:cs="Calibri"/>
                <w:color w:val="000000"/>
                <w:sz w:val="22"/>
                <w:szCs w:val="22"/>
                <w:lang w:val="en-GB"/>
              </w:rPr>
              <w:t>².yr</w:t>
            </w:r>
            <w:proofErr w:type="gramEnd"/>
            <w:r w:rsidRPr="009D3648">
              <w:rPr>
                <w:rFonts w:ascii="Calibri" w:hAnsi="Calibri" w:cs="Calibri"/>
                <w:color w:val="000000"/>
                <w:sz w:val="22"/>
                <w:szCs w:val="22"/>
                <w:lang w:val="en-GB"/>
              </w:rPr>
              <w:t>)</w:t>
            </w:r>
          </w:p>
        </w:tc>
        <w:tc>
          <w:tcPr>
            <w:tcW w:w="1286" w:type="dxa"/>
            <w:shd w:val="clear" w:color="auto" w:fill="FFFFFF"/>
            <w:tcMar>
              <w:top w:w="60" w:type="dxa"/>
              <w:left w:w="100" w:type="dxa"/>
              <w:bottom w:w="60" w:type="dxa"/>
              <w:right w:w="100" w:type="dxa"/>
            </w:tcMar>
            <w:vAlign w:val="center"/>
          </w:tcPr>
          <w:p w14:paraId="68931F7C"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 0</w:t>
            </w:r>
          </w:p>
        </w:tc>
        <w:tc>
          <w:tcPr>
            <w:tcW w:w="1286" w:type="dxa"/>
            <w:shd w:val="clear" w:color="auto" w:fill="FFFFFF"/>
            <w:tcMar>
              <w:top w:w="60" w:type="dxa"/>
              <w:left w:w="100" w:type="dxa"/>
              <w:bottom w:w="60" w:type="dxa"/>
              <w:right w:w="100" w:type="dxa"/>
            </w:tcMar>
            <w:vAlign w:val="center"/>
          </w:tcPr>
          <w:p w14:paraId="6F2BC61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 0</w:t>
            </w:r>
          </w:p>
        </w:tc>
        <w:tc>
          <w:tcPr>
            <w:tcW w:w="1287" w:type="dxa"/>
            <w:shd w:val="clear" w:color="auto" w:fill="FFFFFF"/>
            <w:tcMar>
              <w:top w:w="60" w:type="dxa"/>
              <w:left w:w="100" w:type="dxa"/>
              <w:bottom w:w="60" w:type="dxa"/>
              <w:right w:w="100" w:type="dxa"/>
            </w:tcMar>
            <w:vAlign w:val="center"/>
          </w:tcPr>
          <w:p w14:paraId="7D5C4037"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 0</w:t>
            </w:r>
          </w:p>
        </w:tc>
        <w:tc>
          <w:tcPr>
            <w:tcW w:w="2812" w:type="dxa"/>
            <w:vMerge/>
          </w:tcPr>
          <w:p w14:paraId="57187D95" w14:textId="77777777" w:rsidR="00C7275F" w:rsidRPr="009D3648" w:rsidRDefault="00C7275F">
            <w:pPr>
              <w:rPr>
                <w:rFonts w:ascii="Calibri" w:hAnsi="Calibri" w:cs="Calibri"/>
                <w:sz w:val="22"/>
                <w:szCs w:val="22"/>
                <w:lang w:val="en-GB"/>
              </w:rPr>
            </w:pPr>
          </w:p>
        </w:tc>
      </w:tr>
      <w:tr w:rsidR="00C7275F" w:rsidRPr="009D3648" w14:paraId="7D0CFDD6" w14:textId="77777777" w:rsidTr="00F258DB">
        <w:tblPrEx>
          <w:tblCellMar>
            <w:top w:w="0" w:type="dxa"/>
            <w:bottom w:w="0" w:type="dxa"/>
          </w:tblCellMar>
        </w:tblPrEx>
        <w:tc>
          <w:tcPr>
            <w:tcW w:w="0" w:type="auto"/>
            <w:vMerge/>
          </w:tcPr>
          <w:p w14:paraId="6B18E385" w14:textId="77777777" w:rsidR="00C7275F" w:rsidRPr="009D3648" w:rsidRDefault="00C7275F">
            <w:pPr>
              <w:rPr>
                <w:rFonts w:ascii="Calibri" w:hAnsi="Calibri" w:cs="Calibri"/>
                <w:sz w:val="22"/>
                <w:szCs w:val="22"/>
                <w:lang w:val="en-GB"/>
              </w:rPr>
            </w:pPr>
          </w:p>
        </w:tc>
        <w:tc>
          <w:tcPr>
            <w:tcW w:w="2334" w:type="dxa"/>
            <w:shd w:val="clear" w:color="auto" w:fill="FFFFFF"/>
            <w:tcMar>
              <w:top w:w="60" w:type="dxa"/>
              <w:left w:w="100" w:type="dxa"/>
              <w:bottom w:w="60" w:type="dxa"/>
              <w:right w:w="100" w:type="dxa"/>
            </w:tcMar>
            <w:vAlign w:val="center"/>
          </w:tcPr>
          <w:p w14:paraId="34DD52CA"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Difference between the carbon intensity of directly held logistics real estate assets with actual data and the CRREM pathway value (kgCO2e/m</w:t>
            </w:r>
            <w:proofErr w:type="gramStart"/>
            <w:r w:rsidRPr="009D3648">
              <w:rPr>
                <w:rFonts w:ascii="Calibri" w:hAnsi="Calibri" w:cs="Calibri"/>
                <w:color w:val="000000"/>
                <w:sz w:val="22"/>
                <w:szCs w:val="22"/>
                <w:lang w:val="en-GB"/>
              </w:rPr>
              <w:t>².yr</w:t>
            </w:r>
            <w:proofErr w:type="gramEnd"/>
            <w:r w:rsidRPr="009D3648">
              <w:rPr>
                <w:rFonts w:ascii="Calibri" w:hAnsi="Calibri" w:cs="Calibri"/>
                <w:color w:val="000000"/>
                <w:sz w:val="22"/>
                <w:szCs w:val="22"/>
                <w:lang w:val="en-GB"/>
              </w:rPr>
              <w:t>)</w:t>
            </w:r>
          </w:p>
        </w:tc>
        <w:tc>
          <w:tcPr>
            <w:tcW w:w="1286" w:type="dxa"/>
            <w:shd w:val="clear" w:color="auto" w:fill="FFFFFF"/>
            <w:tcMar>
              <w:top w:w="60" w:type="dxa"/>
              <w:left w:w="100" w:type="dxa"/>
              <w:bottom w:w="60" w:type="dxa"/>
              <w:right w:w="100" w:type="dxa"/>
            </w:tcMar>
            <w:vAlign w:val="center"/>
          </w:tcPr>
          <w:p w14:paraId="29BDD16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 0</w:t>
            </w:r>
          </w:p>
        </w:tc>
        <w:tc>
          <w:tcPr>
            <w:tcW w:w="1286" w:type="dxa"/>
            <w:shd w:val="clear" w:color="auto" w:fill="FFFFFF"/>
            <w:tcMar>
              <w:top w:w="60" w:type="dxa"/>
              <w:left w:w="100" w:type="dxa"/>
              <w:bottom w:w="60" w:type="dxa"/>
              <w:right w:w="100" w:type="dxa"/>
            </w:tcMar>
            <w:vAlign w:val="center"/>
          </w:tcPr>
          <w:p w14:paraId="7216EA80"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 0</w:t>
            </w:r>
          </w:p>
        </w:tc>
        <w:tc>
          <w:tcPr>
            <w:tcW w:w="1287" w:type="dxa"/>
            <w:shd w:val="clear" w:color="auto" w:fill="FFFFFF"/>
            <w:tcMar>
              <w:top w:w="60" w:type="dxa"/>
              <w:left w:w="100" w:type="dxa"/>
              <w:bottom w:w="60" w:type="dxa"/>
              <w:right w:w="100" w:type="dxa"/>
            </w:tcMar>
            <w:vAlign w:val="center"/>
          </w:tcPr>
          <w:p w14:paraId="742F366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 0</w:t>
            </w:r>
          </w:p>
        </w:tc>
        <w:tc>
          <w:tcPr>
            <w:tcW w:w="2812" w:type="dxa"/>
            <w:vMerge/>
          </w:tcPr>
          <w:p w14:paraId="5246B14F" w14:textId="77777777" w:rsidR="00C7275F" w:rsidRPr="009D3648" w:rsidRDefault="00C7275F">
            <w:pPr>
              <w:rPr>
                <w:rFonts w:ascii="Calibri" w:hAnsi="Calibri" w:cs="Calibri"/>
                <w:sz w:val="22"/>
                <w:szCs w:val="22"/>
                <w:lang w:val="en-GB"/>
              </w:rPr>
            </w:pPr>
          </w:p>
        </w:tc>
      </w:tr>
    </w:tbl>
    <w:p w14:paraId="7672E849" w14:textId="77777777" w:rsidR="00C7275F" w:rsidRPr="009D3648" w:rsidRDefault="00C7275F">
      <w:pPr>
        <w:rPr>
          <w:rFonts w:ascii="Calibri" w:hAnsi="Calibri" w:cs="Calibri"/>
          <w:sz w:val="22"/>
          <w:szCs w:val="22"/>
          <w:lang w:val="en-GB"/>
        </w:rPr>
      </w:pP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4A0" w:firstRow="1" w:lastRow="0" w:firstColumn="1" w:lastColumn="0" w:noHBand="0" w:noVBand="1"/>
      </w:tblPr>
      <w:tblGrid>
        <w:gridCol w:w="1579"/>
        <w:gridCol w:w="2301"/>
        <w:gridCol w:w="1306"/>
        <w:gridCol w:w="1306"/>
        <w:gridCol w:w="1306"/>
        <w:gridCol w:w="2687"/>
      </w:tblGrid>
      <w:tr w:rsidR="00C7275F" w:rsidRPr="009D3648" w14:paraId="0AB8A307" w14:textId="77777777" w:rsidTr="00F258DB">
        <w:tblPrEx>
          <w:tblCellMar>
            <w:top w:w="0" w:type="dxa"/>
            <w:bottom w:w="0" w:type="dxa"/>
          </w:tblCellMar>
        </w:tblPrEx>
        <w:tc>
          <w:tcPr>
            <w:tcW w:w="1579" w:type="dxa"/>
            <w:shd w:val="clear" w:color="auto" w:fill="1F4E79"/>
            <w:tcMar>
              <w:top w:w="60" w:type="dxa"/>
              <w:left w:w="100" w:type="dxa"/>
              <w:bottom w:w="60" w:type="dxa"/>
              <w:right w:w="100" w:type="dxa"/>
            </w:tcMar>
            <w:vAlign w:val="center"/>
          </w:tcPr>
          <w:p w14:paraId="314627F0"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Issue</w:t>
            </w:r>
          </w:p>
        </w:tc>
        <w:tc>
          <w:tcPr>
            <w:tcW w:w="2301" w:type="dxa"/>
            <w:shd w:val="clear" w:color="auto" w:fill="1F4E79"/>
            <w:tcMar>
              <w:top w:w="60" w:type="dxa"/>
              <w:left w:w="100" w:type="dxa"/>
              <w:bottom w:w="60" w:type="dxa"/>
              <w:right w:w="100" w:type="dxa"/>
            </w:tcMar>
            <w:vAlign w:val="center"/>
          </w:tcPr>
          <w:p w14:paraId="6B76FFEC"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Indicator</w:t>
            </w:r>
          </w:p>
        </w:tc>
        <w:tc>
          <w:tcPr>
            <w:tcW w:w="1306" w:type="dxa"/>
            <w:shd w:val="clear" w:color="auto" w:fill="1F4E79"/>
            <w:tcMar>
              <w:top w:w="60" w:type="dxa"/>
              <w:left w:w="100" w:type="dxa"/>
              <w:bottom w:w="60" w:type="dxa"/>
              <w:right w:w="100" w:type="dxa"/>
            </w:tcMar>
            <w:vAlign w:val="center"/>
          </w:tcPr>
          <w:p w14:paraId="4F44E37D"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Actual 2024</w:t>
            </w:r>
          </w:p>
        </w:tc>
        <w:tc>
          <w:tcPr>
            <w:tcW w:w="1306" w:type="dxa"/>
            <w:shd w:val="clear" w:color="auto" w:fill="1F4E79"/>
            <w:tcMar>
              <w:top w:w="60" w:type="dxa"/>
              <w:left w:w="100" w:type="dxa"/>
              <w:bottom w:w="60" w:type="dxa"/>
              <w:right w:w="100" w:type="dxa"/>
            </w:tcMar>
            <w:vAlign w:val="center"/>
          </w:tcPr>
          <w:p w14:paraId="20D81BD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Actual 2025</w:t>
            </w:r>
          </w:p>
        </w:tc>
        <w:tc>
          <w:tcPr>
            <w:tcW w:w="1306" w:type="dxa"/>
            <w:shd w:val="clear" w:color="auto" w:fill="1F4E79"/>
            <w:tcMar>
              <w:top w:w="60" w:type="dxa"/>
              <w:left w:w="100" w:type="dxa"/>
              <w:bottom w:w="60" w:type="dxa"/>
              <w:right w:w="100" w:type="dxa"/>
            </w:tcMar>
            <w:vAlign w:val="center"/>
          </w:tcPr>
          <w:p w14:paraId="1DB0AA0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Target 2030</w:t>
            </w:r>
          </w:p>
        </w:tc>
        <w:tc>
          <w:tcPr>
            <w:tcW w:w="2687" w:type="dxa"/>
            <w:shd w:val="clear" w:color="auto" w:fill="1F4E79"/>
            <w:tcMar>
              <w:top w:w="60" w:type="dxa"/>
              <w:left w:w="100" w:type="dxa"/>
              <w:bottom w:w="60" w:type="dxa"/>
              <w:right w:w="100" w:type="dxa"/>
            </w:tcMar>
            <w:vAlign w:val="center"/>
          </w:tcPr>
          <w:p w14:paraId="1D77746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Comments</w:t>
            </w:r>
          </w:p>
        </w:tc>
      </w:tr>
      <w:tr w:rsidR="00C7275F" w:rsidRPr="009D3648" w14:paraId="4899625D" w14:textId="77777777" w:rsidTr="00F258DB">
        <w:tblPrEx>
          <w:tblCellMar>
            <w:top w:w="0" w:type="dxa"/>
            <w:bottom w:w="0" w:type="dxa"/>
          </w:tblCellMar>
        </w:tblPrEx>
        <w:tc>
          <w:tcPr>
            <w:tcW w:w="1579" w:type="dxa"/>
            <w:vMerge w:val="restart"/>
            <w:shd w:val="clear" w:color="auto" w:fill="FFFFFF"/>
            <w:tcMar>
              <w:top w:w="60" w:type="dxa"/>
              <w:left w:w="100" w:type="dxa"/>
              <w:bottom w:w="60" w:type="dxa"/>
              <w:right w:w="100" w:type="dxa"/>
            </w:tcMar>
            <w:vAlign w:val="center"/>
          </w:tcPr>
          <w:p w14:paraId="68530BB2"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Financing activities with positive impacts on environmental and social issues</w:t>
            </w:r>
          </w:p>
        </w:tc>
        <w:tc>
          <w:tcPr>
            <w:tcW w:w="2301" w:type="dxa"/>
            <w:shd w:val="clear" w:color="auto" w:fill="FFFFFF"/>
            <w:tcMar>
              <w:top w:w="60" w:type="dxa"/>
              <w:left w:w="100" w:type="dxa"/>
              <w:bottom w:w="60" w:type="dxa"/>
              <w:right w:w="100" w:type="dxa"/>
            </w:tcMar>
            <w:vAlign w:val="center"/>
          </w:tcPr>
          <w:p w14:paraId="54F4A8CB"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Stock of sustainable investments at year-end (€m)</w:t>
            </w:r>
          </w:p>
        </w:tc>
        <w:tc>
          <w:tcPr>
            <w:tcW w:w="1306" w:type="dxa"/>
            <w:shd w:val="clear" w:color="auto" w:fill="FFFFFF"/>
            <w:tcMar>
              <w:top w:w="60" w:type="dxa"/>
              <w:left w:w="100" w:type="dxa"/>
              <w:bottom w:w="60" w:type="dxa"/>
              <w:right w:w="100" w:type="dxa"/>
            </w:tcMar>
            <w:vAlign w:val="center"/>
          </w:tcPr>
          <w:p w14:paraId="48FC5A9F"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6,124</w:t>
            </w:r>
          </w:p>
        </w:tc>
        <w:tc>
          <w:tcPr>
            <w:tcW w:w="1306" w:type="dxa"/>
            <w:shd w:val="clear" w:color="auto" w:fill="FFFFFF"/>
            <w:tcMar>
              <w:top w:w="60" w:type="dxa"/>
              <w:left w:w="100" w:type="dxa"/>
              <w:bottom w:w="60" w:type="dxa"/>
              <w:right w:w="100" w:type="dxa"/>
            </w:tcMar>
            <w:vAlign w:val="center"/>
          </w:tcPr>
          <w:p w14:paraId="142D6EAA"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7,532</w:t>
            </w:r>
          </w:p>
        </w:tc>
        <w:tc>
          <w:tcPr>
            <w:tcW w:w="1306" w:type="dxa"/>
            <w:shd w:val="clear" w:color="auto" w:fill="FFFFFF"/>
            <w:tcMar>
              <w:top w:w="60" w:type="dxa"/>
              <w:left w:w="100" w:type="dxa"/>
              <w:bottom w:w="60" w:type="dxa"/>
              <w:right w:w="100" w:type="dxa"/>
            </w:tcMar>
            <w:vAlign w:val="center"/>
          </w:tcPr>
          <w:p w14:paraId="2DFB2EA0" w14:textId="77777777" w:rsidR="00C7275F" w:rsidRPr="009D3648" w:rsidRDefault="00C7275F">
            <w:pPr>
              <w:rPr>
                <w:rFonts w:ascii="Calibri" w:hAnsi="Calibri" w:cs="Calibri"/>
                <w:sz w:val="22"/>
                <w:szCs w:val="22"/>
                <w:lang w:val="en-GB"/>
              </w:rPr>
            </w:pPr>
          </w:p>
        </w:tc>
        <w:tc>
          <w:tcPr>
            <w:tcW w:w="2687" w:type="dxa"/>
            <w:vMerge w:val="restart"/>
            <w:shd w:val="clear" w:color="auto" w:fill="FFFFFF"/>
            <w:tcMar>
              <w:top w:w="60" w:type="dxa"/>
              <w:left w:w="100" w:type="dxa"/>
              <w:bottom w:w="60" w:type="dxa"/>
              <w:right w:w="100" w:type="dxa"/>
            </w:tcMar>
            <w:vAlign w:val="center"/>
          </w:tcPr>
          <w:p w14:paraId="183872D0"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See explanations for lever no. 4 “as an investor” and chapter S2</w:t>
            </w:r>
          </w:p>
        </w:tc>
      </w:tr>
      <w:tr w:rsidR="00C7275F" w:rsidRPr="009D3648" w14:paraId="55BF913C" w14:textId="77777777" w:rsidTr="00F258DB">
        <w:tblPrEx>
          <w:tblCellMar>
            <w:top w:w="0" w:type="dxa"/>
            <w:bottom w:w="0" w:type="dxa"/>
          </w:tblCellMar>
        </w:tblPrEx>
        <w:tc>
          <w:tcPr>
            <w:tcW w:w="0" w:type="auto"/>
            <w:vMerge/>
          </w:tcPr>
          <w:p w14:paraId="3F5F6A98" w14:textId="77777777" w:rsidR="00C7275F" w:rsidRPr="009D3648" w:rsidRDefault="00C7275F">
            <w:pPr>
              <w:rPr>
                <w:rFonts w:ascii="Calibri" w:hAnsi="Calibri" w:cs="Calibri"/>
                <w:sz w:val="22"/>
                <w:szCs w:val="22"/>
                <w:lang w:val="en-GB"/>
              </w:rPr>
            </w:pPr>
          </w:p>
        </w:tc>
        <w:tc>
          <w:tcPr>
            <w:tcW w:w="2301" w:type="dxa"/>
            <w:shd w:val="clear" w:color="auto" w:fill="FFFFFF"/>
            <w:tcMar>
              <w:top w:w="60" w:type="dxa"/>
              <w:left w:w="100" w:type="dxa"/>
              <w:bottom w:w="60" w:type="dxa"/>
              <w:right w:w="100" w:type="dxa"/>
            </w:tcMar>
            <w:vAlign w:val="center"/>
          </w:tcPr>
          <w:p w14:paraId="4A8916C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Amount of net additional sustainable investments made during the year (€m)</w:t>
            </w:r>
          </w:p>
        </w:tc>
        <w:tc>
          <w:tcPr>
            <w:tcW w:w="1306" w:type="dxa"/>
            <w:shd w:val="clear" w:color="auto" w:fill="FFFFFF"/>
            <w:tcMar>
              <w:top w:w="60" w:type="dxa"/>
              <w:left w:w="100" w:type="dxa"/>
              <w:bottom w:w="60" w:type="dxa"/>
              <w:right w:w="100" w:type="dxa"/>
            </w:tcMar>
            <w:vAlign w:val="center"/>
          </w:tcPr>
          <w:p w14:paraId="083B5D5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1,039</w:t>
            </w:r>
          </w:p>
        </w:tc>
        <w:tc>
          <w:tcPr>
            <w:tcW w:w="1306" w:type="dxa"/>
            <w:shd w:val="clear" w:color="auto" w:fill="FFFFFF"/>
            <w:tcMar>
              <w:top w:w="60" w:type="dxa"/>
              <w:left w:w="100" w:type="dxa"/>
              <w:bottom w:w="60" w:type="dxa"/>
              <w:right w:w="100" w:type="dxa"/>
            </w:tcMar>
            <w:vAlign w:val="center"/>
          </w:tcPr>
          <w:p w14:paraId="68785095"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1,407</w:t>
            </w:r>
          </w:p>
        </w:tc>
        <w:tc>
          <w:tcPr>
            <w:tcW w:w="1306" w:type="dxa"/>
            <w:shd w:val="clear" w:color="auto" w:fill="FFFFFF"/>
            <w:tcMar>
              <w:top w:w="60" w:type="dxa"/>
              <w:left w:w="100" w:type="dxa"/>
              <w:bottom w:w="60" w:type="dxa"/>
              <w:right w:w="100" w:type="dxa"/>
            </w:tcMar>
            <w:vAlign w:val="center"/>
          </w:tcPr>
          <w:p w14:paraId="6AB841A3" w14:textId="77777777" w:rsidR="00C7275F" w:rsidRPr="009D3648" w:rsidRDefault="00C7275F">
            <w:pPr>
              <w:rPr>
                <w:rFonts w:ascii="Calibri" w:hAnsi="Calibri" w:cs="Calibri"/>
                <w:sz w:val="22"/>
                <w:szCs w:val="22"/>
                <w:lang w:val="en-GB"/>
              </w:rPr>
            </w:pPr>
          </w:p>
        </w:tc>
        <w:tc>
          <w:tcPr>
            <w:tcW w:w="2687" w:type="dxa"/>
            <w:vMerge/>
          </w:tcPr>
          <w:p w14:paraId="39BAFE6E" w14:textId="77777777" w:rsidR="00C7275F" w:rsidRPr="009D3648" w:rsidRDefault="00C7275F">
            <w:pPr>
              <w:rPr>
                <w:rFonts w:ascii="Calibri" w:hAnsi="Calibri" w:cs="Calibri"/>
                <w:sz w:val="22"/>
                <w:szCs w:val="22"/>
                <w:lang w:val="en-GB"/>
              </w:rPr>
            </w:pPr>
          </w:p>
        </w:tc>
      </w:tr>
      <w:tr w:rsidR="00F258DB" w:rsidRPr="009D3648" w14:paraId="6799FA10" w14:textId="77777777" w:rsidTr="006A17DE">
        <w:tblPrEx>
          <w:tblCellMar>
            <w:top w:w="0" w:type="dxa"/>
            <w:bottom w:w="0" w:type="dxa"/>
          </w:tblCellMar>
        </w:tblPrEx>
        <w:tc>
          <w:tcPr>
            <w:tcW w:w="0" w:type="auto"/>
            <w:vMerge/>
          </w:tcPr>
          <w:p w14:paraId="31338B61" w14:textId="77777777" w:rsidR="00F258DB" w:rsidRPr="009D3648" w:rsidRDefault="00F258DB">
            <w:pPr>
              <w:rPr>
                <w:rFonts w:ascii="Calibri" w:hAnsi="Calibri" w:cs="Calibri"/>
                <w:sz w:val="22"/>
                <w:szCs w:val="22"/>
                <w:lang w:val="en-GB"/>
              </w:rPr>
            </w:pPr>
          </w:p>
        </w:tc>
        <w:tc>
          <w:tcPr>
            <w:tcW w:w="4913" w:type="dxa"/>
            <w:gridSpan w:val="3"/>
            <w:shd w:val="clear" w:color="auto" w:fill="FFFFFF"/>
            <w:tcMar>
              <w:top w:w="60" w:type="dxa"/>
              <w:left w:w="100" w:type="dxa"/>
              <w:bottom w:w="60" w:type="dxa"/>
              <w:right w:w="100" w:type="dxa"/>
            </w:tcMar>
            <w:vAlign w:val="center"/>
          </w:tcPr>
          <w:p w14:paraId="2AFB5D09" w14:textId="5D4DEA23" w:rsidR="00F258DB" w:rsidRPr="009D3648" w:rsidRDefault="00F258DB">
            <w:pPr>
              <w:rPr>
                <w:rFonts w:ascii="Calibri" w:hAnsi="Calibri" w:cs="Calibri"/>
                <w:sz w:val="22"/>
                <w:szCs w:val="22"/>
                <w:lang w:val="en-GB"/>
              </w:rPr>
            </w:pPr>
            <w:r w:rsidRPr="009D3648">
              <w:rPr>
                <w:rFonts w:ascii="Calibri" w:hAnsi="Calibri" w:cs="Calibri"/>
                <w:color w:val="000000"/>
                <w:sz w:val="22"/>
                <w:szCs w:val="22"/>
                <w:lang w:val="en-GB"/>
              </w:rPr>
              <w:t>Target for additional sustainable investments in €m to be made between 1/01/2026 and 31/12/2030</w:t>
            </w:r>
          </w:p>
        </w:tc>
        <w:tc>
          <w:tcPr>
            <w:tcW w:w="1306" w:type="dxa"/>
            <w:shd w:val="clear" w:color="auto" w:fill="FFFFFF"/>
            <w:tcMar>
              <w:top w:w="60" w:type="dxa"/>
              <w:left w:w="100" w:type="dxa"/>
              <w:bottom w:w="60" w:type="dxa"/>
              <w:right w:w="100" w:type="dxa"/>
            </w:tcMar>
            <w:vAlign w:val="center"/>
          </w:tcPr>
          <w:p w14:paraId="082CE3FC" w14:textId="77777777" w:rsidR="00F258DB" w:rsidRPr="009D3648" w:rsidRDefault="00F258DB">
            <w:pPr>
              <w:jc w:val="center"/>
              <w:rPr>
                <w:rFonts w:ascii="Calibri" w:hAnsi="Calibri" w:cs="Calibri"/>
                <w:sz w:val="22"/>
                <w:szCs w:val="22"/>
                <w:lang w:val="en-GB"/>
              </w:rPr>
            </w:pPr>
            <w:r w:rsidRPr="009D3648">
              <w:rPr>
                <w:rFonts w:ascii="Calibri" w:hAnsi="Calibri" w:cs="Calibri"/>
                <w:color w:val="000000"/>
                <w:sz w:val="22"/>
                <w:szCs w:val="22"/>
                <w:lang w:val="en-GB"/>
              </w:rPr>
              <w:t>1,300</w:t>
            </w:r>
          </w:p>
        </w:tc>
        <w:tc>
          <w:tcPr>
            <w:tcW w:w="2687" w:type="dxa"/>
            <w:shd w:val="clear" w:color="auto" w:fill="FFFFFF"/>
            <w:tcMar>
              <w:top w:w="60" w:type="dxa"/>
              <w:left w:w="100" w:type="dxa"/>
              <w:bottom w:w="60" w:type="dxa"/>
              <w:right w:w="100" w:type="dxa"/>
            </w:tcMar>
            <w:vAlign w:val="center"/>
          </w:tcPr>
          <w:p w14:paraId="3D32F97D" w14:textId="77777777" w:rsidR="00F258DB" w:rsidRPr="009D3648" w:rsidRDefault="00F258DB">
            <w:pPr>
              <w:rPr>
                <w:rFonts w:ascii="Calibri" w:hAnsi="Calibri" w:cs="Calibri"/>
                <w:sz w:val="22"/>
                <w:szCs w:val="22"/>
                <w:lang w:val="en-GB"/>
              </w:rPr>
            </w:pPr>
            <w:r w:rsidRPr="009D3648">
              <w:rPr>
                <w:rFonts w:ascii="Calibri" w:hAnsi="Calibri" w:cs="Calibri"/>
                <w:color w:val="000000"/>
                <w:sz w:val="22"/>
                <w:szCs w:val="22"/>
                <w:lang w:val="en-GB"/>
              </w:rPr>
              <w:t>New target</w:t>
            </w:r>
          </w:p>
        </w:tc>
      </w:tr>
      <w:tr w:rsidR="00C7275F" w:rsidRPr="009D3648" w14:paraId="6D889D01" w14:textId="77777777" w:rsidTr="00F258DB">
        <w:tblPrEx>
          <w:tblCellMar>
            <w:top w:w="0" w:type="dxa"/>
            <w:bottom w:w="0" w:type="dxa"/>
          </w:tblCellMar>
        </w:tblPrEx>
        <w:tc>
          <w:tcPr>
            <w:tcW w:w="1579" w:type="dxa"/>
            <w:vMerge w:val="restart"/>
            <w:shd w:val="clear" w:color="auto" w:fill="FFFFFF"/>
            <w:tcMar>
              <w:top w:w="60" w:type="dxa"/>
              <w:left w:w="100" w:type="dxa"/>
              <w:bottom w:w="60" w:type="dxa"/>
              <w:right w:w="100" w:type="dxa"/>
            </w:tcMar>
            <w:vAlign w:val="center"/>
          </w:tcPr>
          <w:p w14:paraId="191B26DC"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Sustainable management of our forests</w:t>
            </w:r>
          </w:p>
        </w:tc>
        <w:tc>
          <w:tcPr>
            <w:tcW w:w="2301" w:type="dxa"/>
            <w:shd w:val="clear" w:color="auto" w:fill="FFFFFF"/>
            <w:tcMar>
              <w:top w:w="60" w:type="dxa"/>
              <w:left w:w="100" w:type="dxa"/>
              <w:bottom w:w="60" w:type="dxa"/>
              <w:right w:w="100" w:type="dxa"/>
            </w:tcMar>
            <w:vAlign w:val="center"/>
          </w:tcPr>
          <w:p w14:paraId="41AE80BE"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 xml:space="preserve">Forest area owned by Groupama at year-end (in thousand ha) – Société </w:t>
            </w:r>
            <w:proofErr w:type="spellStart"/>
            <w:r w:rsidRPr="009D3648">
              <w:rPr>
                <w:rFonts w:ascii="Calibri" w:hAnsi="Calibri" w:cs="Calibri"/>
                <w:color w:val="000000"/>
                <w:sz w:val="22"/>
                <w:szCs w:val="22"/>
                <w:lang w:val="en-GB"/>
              </w:rPr>
              <w:t>Forestière</w:t>
            </w:r>
            <w:proofErr w:type="spellEnd"/>
            <w:r w:rsidRPr="009D3648">
              <w:rPr>
                <w:rFonts w:ascii="Calibri" w:hAnsi="Calibri" w:cs="Calibri"/>
                <w:color w:val="000000"/>
                <w:sz w:val="22"/>
                <w:szCs w:val="22"/>
                <w:lang w:val="en-GB"/>
              </w:rPr>
              <w:t xml:space="preserve"> de Gestion (SFG) scope</w:t>
            </w:r>
          </w:p>
        </w:tc>
        <w:tc>
          <w:tcPr>
            <w:tcW w:w="1306" w:type="dxa"/>
            <w:shd w:val="clear" w:color="auto" w:fill="FFFFFF"/>
            <w:tcMar>
              <w:top w:w="60" w:type="dxa"/>
              <w:left w:w="100" w:type="dxa"/>
              <w:bottom w:w="60" w:type="dxa"/>
              <w:right w:w="100" w:type="dxa"/>
            </w:tcMar>
            <w:vAlign w:val="center"/>
          </w:tcPr>
          <w:p w14:paraId="5E8DC30D"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22.5</w:t>
            </w:r>
          </w:p>
        </w:tc>
        <w:tc>
          <w:tcPr>
            <w:tcW w:w="1306" w:type="dxa"/>
            <w:shd w:val="clear" w:color="auto" w:fill="FFFFFF"/>
            <w:tcMar>
              <w:top w:w="60" w:type="dxa"/>
              <w:left w:w="100" w:type="dxa"/>
              <w:bottom w:w="60" w:type="dxa"/>
              <w:right w:w="100" w:type="dxa"/>
            </w:tcMar>
            <w:vAlign w:val="center"/>
          </w:tcPr>
          <w:p w14:paraId="7F80B53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22.5</w:t>
            </w:r>
          </w:p>
        </w:tc>
        <w:tc>
          <w:tcPr>
            <w:tcW w:w="1306" w:type="dxa"/>
            <w:shd w:val="clear" w:color="auto" w:fill="FFFFFF"/>
            <w:tcMar>
              <w:top w:w="60" w:type="dxa"/>
              <w:left w:w="100" w:type="dxa"/>
              <w:bottom w:w="60" w:type="dxa"/>
              <w:right w:w="100" w:type="dxa"/>
            </w:tcMar>
            <w:vAlign w:val="center"/>
          </w:tcPr>
          <w:p w14:paraId="07B5FE78"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w:t>
            </w:r>
          </w:p>
        </w:tc>
        <w:tc>
          <w:tcPr>
            <w:tcW w:w="2687" w:type="dxa"/>
            <w:vMerge w:val="restart"/>
            <w:shd w:val="clear" w:color="auto" w:fill="FFFFFF"/>
            <w:tcMar>
              <w:top w:w="60" w:type="dxa"/>
              <w:left w:w="100" w:type="dxa"/>
              <w:bottom w:w="60" w:type="dxa"/>
              <w:right w:w="100" w:type="dxa"/>
            </w:tcMar>
            <w:vAlign w:val="center"/>
          </w:tcPr>
          <w:p w14:paraId="6BEFE748"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Stable</w:t>
            </w:r>
          </w:p>
        </w:tc>
      </w:tr>
      <w:tr w:rsidR="00C7275F" w:rsidRPr="009D3648" w14:paraId="63C7AD3C" w14:textId="77777777" w:rsidTr="00F258DB">
        <w:tblPrEx>
          <w:tblCellMar>
            <w:top w:w="0" w:type="dxa"/>
            <w:bottom w:w="0" w:type="dxa"/>
          </w:tblCellMar>
        </w:tblPrEx>
        <w:tc>
          <w:tcPr>
            <w:tcW w:w="0" w:type="auto"/>
            <w:vMerge/>
          </w:tcPr>
          <w:p w14:paraId="2CFC2647" w14:textId="77777777" w:rsidR="00C7275F" w:rsidRPr="009D3648" w:rsidRDefault="00C7275F">
            <w:pPr>
              <w:rPr>
                <w:rFonts w:ascii="Calibri" w:hAnsi="Calibri" w:cs="Calibri"/>
                <w:sz w:val="22"/>
                <w:szCs w:val="22"/>
                <w:lang w:val="en-GB"/>
              </w:rPr>
            </w:pPr>
          </w:p>
        </w:tc>
        <w:tc>
          <w:tcPr>
            <w:tcW w:w="2301" w:type="dxa"/>
            <w:shd w:val="clear" w:color="auto" w:fill="FFFFFF"/>
            <w:tcMar>
              <w:top w:w="60" w:type="dxa"/>
              <w:left w:w="100" w:type="dxa"/>
              <w:bottom w:w="60" w:type="dxa"/>
              <w:right w:w="100" w:type="dxa"/>
            </w:tcMar>
            <w:vAlign w:val="center"/>
          </w:tcPr>
          <w:p w14:paraId="60552F7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Of which % PEFC-certified (Programme for the Endorsement of Forest Certification) – SFG</w:t>
            </w:r>
          </w:p>
        </w:tc>
        <w:tc>
          <w:tcPr>
            <w:tcW w:w="1306" w:type="dxa"/>
            <w:shd w:val="clear" w:color="auto" w:fill="FFFFFF"/>
            <w:tcMar>
              <w:top w:w="60" w:type="dxa"/>
              <w:left w:w="100" w:type="dxa"/>
              <w:bottom w:w="60" w:type="dxa"/>
              <w:right w:w="100" w:type="dxa"/>
            </w:tcMar>
            <w:vAlign w:val="center"/>
          </w:tcPr>
          <w:p w14:paraId="3F0A8826"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100%</w:t>
            </w:r>
          </w:p>
        </w:tc>
        <w:tc>
          <w:tcPr>
            <w:tcW w:w="1306" w:type="dxa"/>
            <w:shd w:val="clear" w:color="auto" w:fill="FFFFFF"/>
            <w:tcMar>
              <w:top w:w="60" w:type="dxa"/>
              <w:left w:w="100" w:type="dxa"/>
              <w:bottom w:w="60" w:type="dxa"/>
              <w:right w:w="100" w:type="dxa"/>
            </w:tcMar>
            <w:vAlign w:val="center"/>
          </w:tcPr>
          <w:p w14:paraId="1216022F"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100%</w:t>
            </w:r>
          </w:p>
        </w:tc>
        <w:tc>
          <w:tcPr>
            <w:tcW w:w="1306" w:type="dxa"/>
            <w:shd w:val="clear" w:color="auto" w:fill="FFFFFF"/>
            <w:tcMar>
              <w:top w:w="60" w:type="dxa"/>
              <w:left w:w="100" w:type="dxa"/>
              <w:bottom w:w="60" w:type="dxa"/>
              <w:right w:w="100" w:type="dxa"/>
            </w:tcMar>
            <w:vAlign w:val="center"/>
          </w:tcPr>
          <w:p w14:paraId="715E7985"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100%</w:t>
            </w:r>
          </w:p>
        </w:tc>
        <w:tc>
          <w:tcPr>
            <w:tcW w:w="2687" w:type="dxa"/>
            <w:vMerge/>
          </w:tcPr>
          <w:p w14:paraId="5068E936" w14:textId="77777777" w:rsidR="00C7275F" w:rsidRPr="009D3648" w:rsidRDefault="00C7275F">
            <w:pPr>
              <w:rPr>
                <w:rFonts w:ascii="Calibri" w:hAnsi="Calibri" w:cs="Calibri"/>
                <w:sz w:val="22"/>
                <w:szCs w:val="22"/>
                <w:lang w:val="en-GB"/>
              </w:rPr>
            </w:pPr>
          </w:p>
        </w:tc>
      </w:tr>
      <w:tr w:rsidR="00C7275F" w:rsidRPr="009D3648" w14:paraId="417BCFFF" w14:textId="77777777" w:rsidTr="00F258DB">
        <w:tblPrEx>
          <w:tblCellMar>
            <w:top w:w="0" w:type="dxa"/>
            <w:bottom w:w="0" w:type="dxa"/>
          </w:tblCellMar>
        </w:tblPrEx>
        <w:tc>
          <w:tcPr>
            <w:tcW w:w="0" w:type="auto"/>
            <w:vMerge/>
          </w:tcPr>
          <w:p w14:paraId="7E4DB0DB" w14:textId="77777777" w:rsidR="00C7275F" w:rsidRPr="009D3648" w:rsidRDefault="00C7275F">
            <w:pPr>
              <w:rPr>
                <w:rFonts w:ascii="Calibri" w:hAnsi="Calibri" w:cs="Calibri"/>
                <w:sz w:val="22"/>
                <w:szCs w:val="22"/>
                <w:lang w:val="en-GB"/>
              </w:rPr>
            </w:pPr>
          </w:p>
        </w:tc>
        <w:tc>
          <w:tcPr>
            <w:tcW w:w="2301" w:type="dxa"/>
            <w:shd w:val="clear" w:color="auto" w:fill="FFFFFF"/>
            <w:tcMar>
              <w:top w:w="60" w:type="dxa"/>
              <w:left w:w="100" w:type="dxa"/>
              <w:bottom w:w="60" w:type="dxa"/>
              <w:right w:w="100" w:type="dxa"/>
            </w:tcMar>
            <w:vAlign w:val="center"/>
          </w:tcPr>
          <w:p w14:paraId="0586CE81"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Carbon stock of our forest properties (Million tonnes of CO2) – SFG</w:t>
            </w:r>
          </w:p>
        </w:tc>
        <w:tc>
          <w:tcPr>
            <w:tcW w:w="1306" w:type="dxa"/>
            <w:shd w:val="clear" w:color="auto" w:fill="FFFFFF"/>
            <w:tcMar>
              <w:top w:w="60" w:type="dxa"/>
              <w:left w:w="100" w:type="dxa"/>
              <w:bottom w:w="60" w:type="dxa"/>
              <w:right w:w="100" w:type="dxa"/>
            </w:tcMar>
            <w:vAlign w:val="center"/>
          </w:tcPr>
          <w:p w14:paraId="1FACD19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11</w:t>
            </w:r>
          </w:p>
        </w:tc>
        <w:tc>
          <w:tcPr>
            <w:tcW w:w="1306" w:type="dxa"/>
            <w:shd w:val="clear" w:color="auto" w:fill="FFFFFF"/>
            <w:tcMar>
              <w:top w:w="60" w:type="dxa"/>
              <w:left w:w="100" w:type="dxa"/>
              <w:bottom w:w="60" w:type="dxa"/>
              <w:right w:w="100" w:type="dxa"/>
            </w:tcMar>
            <w:vAlign w:val="center"/>
          </w:tcPr>
          <w:p w14:paraId="43F1D743"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11</w:t>
            </w:r>
          </w:p>
        </w:tc>
        <w:tc>
          <w:tcPr>
            <w:tcW w:w="1306" w:type="dxa"/>
            <w:shd w:val="clear" w:color="auto" w:fill="FFFFFF"/>
            <w:tcMar>
              <w:top w:w="60" w:type="dxa"/>
              <w:left w:w="100" w:type="dxa"/>
              <w:bottom w:w="60" w:type="dxa"/>
              <w:right w:w="100" w:type="dxa"/>
            </w:tcMar>
            <w:vAlign w:val="center"/>
          </w:tcPr>
          <w:p w14:paraId="2FDC08C5"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w:t>
            </w:r>
          </w:p>
        </w:tc>
        <w:tc>
          <w:tcPr>
            <w:tcW w:w="2687" w:type="dxa"/>
            <w:vMerge/>
          </w:tcPr>
          <w:p w14:paraId="274948D5" w14:textId="77777777" w:rsidR="00C7275F" w:rsidRPr="009D3648" w:rsidRDefault="00C7275F">
            <w:pPr>
              <w:rPr>
                <w:rFonts w:ascii="Calibri" w:hAnsi="Calibri" w:cs="Calibri"/>
                <w:sz w:val="22"/>
                <w:szCs w:val="22"/>
                <w:lang w:val="en-GB"/>
              </w:rPr>
            </w:pPr>
          </w:p>
        </w:tc>
      </w:tr>
      <w:tr w:rsidR="00C7275F" w:rsidRPr="009D3648" w14:paraId="316D7AFE" w14:textId="77777777" w:rsidTr="00F258DB">
        <w:tblPrEx>
          <w:tblCellMar>
            <w:top w:w="0" w:type="dxa"/>
            <w:bottom w:w="0" w:type="dxa"/>
          </w:tblCellMar>
        </w:tblPrEx>
        <w:tc>
          <w:tcPr>
            <w:tcW w:w="0" w:type="auto"/>
            <w:vMerge/>
          </w:tcPr>
          <w:p w14:paraId="45E74174" w14:textId="77777777" w:rsidR="00C7275F" w:rsidRPr="009D3648" w:rsidRDefault="00C7275F">
            <w:pPr>
              <w:rPr>
                <w:rFonts w:ascii="Calibri" w:hAnsi="Calibri" w:cs="Calibri"/>
                <w:sz w:val="22"/>
                <w:szCs w:val="22"/>
                <w:lang w:val="en-GB"/>
              </w:rPr>
            </w:pPr>
          </w:p>
        </w:tc>
        <w:tc>
          <w:tcPr>
            <w:tcW w:w="2301" w:type="dxa"/>
            <w:shd w:val="clear" w:color="auto" w:fill="FFFFFF"/>
            <w:tcMar>
              <w:top w:w="60" w:type="dxa"/>
              <w:left w:w="100" w:type="dxa"/>
              <w:bottom w:w="60" w:type="dxa"/>
              <w:right w:w="100" w:type="dxa"/>
            </w:tcMar>
            <w:vAlign w:val="center"/>
          </w:tcPr>
          <w:p w14:paraId="53C6D47C"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Carbon sequestration index of our forests – Stock (Tonnes of CO2/ha)</w:t>
            </w:r>
          </w:p>
        </w:tc>
        <w:tc>
          <w:tcPr>
            <w:tcW w:w="1306" w:type="dxa"/>
            <w:shd w:val="clear" w:color="auto" w:fill="FFFFFF"/>
            <w:tcMar>
              <w:top w:w="60" w:type="dxa"/>
              <w:left w:w="100" w:type="dxa"/>
              <w:bottom w:w="60" w:type="dxa"/>
              <w:right w:w="100" w:type="dxa"/>
            </w:tcMar>
            <w:vAlign w:val="center"/>
          </w:tcPr>
          <w:p w14:paraId="0DD26E9E"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490</w:t>
            </w:r>
          </w:p>
        </w:tc>
        <w:tc>
          <w:tcPr>
            <w:tcW w:w="1306" w:type="dxa"/>
            <w:shd w:val="clear" w:color="auto" w:fill="FFFFFF"/>
            <w:tcMar>
              <w:top w:w="60" w:type="dxa"/>
              <w:left w:w="100" w:type="dxa"/>
              <w:bottom w:w="60" w:type="dxa"/>
              <w:right w:w="100" w:type="dxa"/>
            </w:tcMar>
            <w:vAlign w:val="center"/>
          </w:tcPr>
          <w:p w14:paraId="5CEA678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490</w:t>
            </w:r>
          </w:p>
        </w:tc>
        <w:tc>
          <w:tcPr>
            <w:tcW w:w="1306" w:type="dxa"/>
            <w:shd w:val="clear" w:color="auto" w:fill="FFFFFF"/>
            <w:tcMar>
              <w:top w:w="60" w:type="dxa"/>
              <w:left w:w="100" w:type="dxa"/>
              <w:bottom w:w="60" w:type="dxa"/>
              <w:right w:w="100" w:type="dxa"/>
            </w:tcMar>
            <w:vAlign w:val="center"/>
          </w:tcPr>
          <w:p w14:paraId="2791C457"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w:t>
            </w:r>
          </w:p>
        </w:tc>
        <w:tc>
          <w:tcPr>
            <w:tcW w:w="2687" w:type="dxa"/>
            <w:vMerge/>
          </w:tcPr>
          <w:p w14:paraId="1E25F67A" w14:textId="77777777" w:rsidR="00C7275F" w:rsidRPr="009D3648" w:rsidRDefault="00C7275F">
            <w:pPr>
              <w:rPr>
                <w:rFonts w:ascii="Calibri" w:hAnsi="Calibri" w:cs="Calibri"/>
                <w:sz w:val="22"/>
                <w:szCs w:val="22"/>
                <w:lang w:val="en-GB"/>
              </w:rPr>
            </w:pPr>
          </w:p>
        </w:tc>
      </w:tr>
      <w:tr w:rsidR="00C7275F" w:rsidRPr="009D3648" w14:paraId="1CBEBC14" w14:textId="77777777" w:rsidTr="00F258DB">
        <w:tblPrEx>
          <w:tblCellMar>
            <w:top w:w="0" w:type="dxa"/>
            <w:bottom w:w="0" w:type="dxa"/>
          </w:tblCellMar>
        </w:tblPrEx>
        <w:tc>
          <w:tcPr>
            <w:tcW w:w="1579" w:type="dxa"/>
            <w:vMerge w:val="restart"/>
            <w:shd w:val="clear" w:color="auto" w:fill="FFFFFF"/>
            <w:tcMar>
              <w:top w:w="60" w:type="dxa"/>
              <w:left w:w="100" w:type="dxa"/>
              <w:bottom w:w="60" w:type="dxa"/>
              <w:right w:w="100" w:type="dxa"/>
            </w:tcMar>
            <w:vAlign w:val="center"/>
          </w:tcPr>
          <w:p w14:paraId="50141F7D" w14:textId="77777777" w:rsidR="00C7275F" w:rsidRPr="009D3648" w:rsidRDefault="00932CE0">
            <w:pPr>
              <w:rPr>
                <w:rFonts w:ascii="Calibri" w:hAnsi="Calibri" w:cs="Calibri"/>
                <w:sz w:val="22"/>
                <w:szCs w:val="22"/>
                <w:lang w:val="en-GB"/>
              </w:rPr>
            </w:pPr>
            <w:r w:rsidRPr="009D3648">
              <w:rPr>
                <w:rFonts w:ascii="Calibri" w:hAnsi="Calibri" w:cs="Calibri"/>
                <w:b/>
                <w:bCs/>
                <w:color w:val="000000"/>
                <w:sz w:val="22"/>
                <w:szCs w:val="22"/>
                <w:lang w:val="en-GB"/>
              </w:rPr>
              <w:t>Attractive sustainable savings and pension solutions</w:t>
            </w:r>
          </w:p>
        </w:tc>
        <w:tc>
          <w:tcPr>
            <w:tcW w:w="2301" w:type="dxa"/>
            <w:shd w:val="clear" w:color="auto" w:fill="FFFFFF"/>
            <w:tcMar>
              <w:top w:w="60" w:type="dxa"/>
              <w:left w:w="100" w:type="dxa"/>
              <w:bottom w:w="60" w:type="dxa"/>
              <w:right w:w="100" w:type="dxa"/>
            </w:tcMar>
            <w:vAlign w:val="center"/>
          </w:tcPr>
          <w:p w14:paraId="2F08E79C"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Total sustainable savings &amp; pension assets under management at 31/12 (€bn) (Individual + group)</w:t>
            </w:r>
          </w:p>
        </w:tc>
        <w:tc>
          <w:tcPr>
            <w:tcW w:w="1306" w:type="dxa"/>
            <w:shd w:val="clear" w:color="auto" w:fill="FFFFFF"/>
            <w:tcMar>
              <w:top w:w="60" w:type="dxa"/>
              <w:left w:w="100" w:type="dxa"/>
              <w:bottom w:w="60" w:type="dxa"/>
              <w:right w:w="100" w:type="dxa"/>
            </w:tcMar>
            <w:vAlign w:val="center"/>
          </w:tcPr>
          <w:p w14:paraId="03AA266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21.1</w:t>
            </w:r>
          </w:p>
        </w:tc>
        <w:tc>
          <w:tcPr>
            <w:tcW w:w="1306" w:type="dxa"/>
            <w:shd w:val="clear" w:color="auto" w:fill="FFFFFF"/>
            <w:tcMar>
              <w:top w:w="60" w:type="dxa"/>
              <w:left w:w="100" w:type="dxa"/>
              <w:bottom w:w="60" w:type="dxa"/>
              <w:right w:w="100" w:type="dxa"/>
            </w:tcMar>
            <w:vAlign w:val="center"/>
          </w:tcPr>
          <w:p w14:paraId="319062B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23.1</w:t>
            </w:r>
          </w:p>
        </w:tc>
        <w:tc>
          <w:tcPr>
            <w:tcW w:w="1306" w:type="dxa"/>
            <w:shd w:val="clear" w:color="auto" w:fill="FFFFFF"/>
            <w:tcMar>
              <w:top w:w="60" w:type="dxa"/>
              <w:left w:w="100" w:type="dxa"/>
              <w:bottom w:w="60" w:type="dxa"/>
              <w:right w:w="100" w:type="dxa"/>
            </w:tcMar>
            <w:vAlign w:val="center"/>
          </w:tcPr>
          <w:p w14:paraId="0B27AE6C" w14:textId="77777777" w:rsidR="00C7275F" w:rsidRPr="009D3648" w:rsidRDefault="00C7275F">
            <w:pPr>
              <w:rPr>
                <w:rFonts w:ascii="Calibri" w:hAnsi="Calibri" w:cs="Calibri"/>
                <w:sz w:val="22"/>
                <w:szCs w:val="22"/>
                <w:lang w:val="en-GB"/>
              </w:rPr>
            </w:pPr>
          </w:p>
        </w:tc>
        <w:tc>
          <w:tcPr>
            <w:tcW w:w="2687" w:type="dxa"/>
            <w:vMerge w:val="restart"/>
            <w:shd w:val="clear" w:color="auto" w:fill="FFFFFF"/>
            <w:tcMar>
              <w:top w:w="60" w:type="dxa"/>
              <w:left w:w="100" w:type="dxa"/>
              <w:bottom w:w="60" w:type="dxa"/>
              <w:right w:w="100" w:type="dxa"/>
            </w:tcMar>
            <w:vAlign w:val="center"/>
          </w:tcPr>
          <w:p w14:paraId="0C5B1198"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See explanations for lever no. 4 “as an investor” and chapter S2</w:t>
            </w:r>
          </w:p>
        </w:tc>
      </w:tr>
      <w:tr w:rsidR="00C7275F" w:rsidRPr="009D3648" w14:paraId="26FB9818" w14:textId="77777777" w:rsidTr="00F258DB">
        <w:tblPrEx>
          <w:tblCellMar>
            <w:top w:w="0" w:type="dxa"/>
            <w:bottom w:w="0" w:type="dxa"/>
          </w:tblCellMar>
        </w:tblPrEx>
        <w:tc>
          <w:tcPr>
            <w:tcW w:w="0" w:type="auto"/>
            <w:vMerge/>
          </w:tcPr>
          <w:p w14:paraId="5C420628" w14:textId="77777777" w:rsidR="00C7275F" w:rsidRPr="009D3648" w:rsidRDefault="00C7275F">
            <w:pPr>
              <w:rPr>
                <w:rFonts w:ascii="Calibri" w:hAnsi="Calibri" w:cs="Calibri"/>
                <w:sz w:val="22"/>
                <w:szCs w:val="22"/>
                <w:lang w:val="en-GB"/>
              </w:rPr>
            </w:pPr>
          </w:p>
        </w:tc>
        <w:tc>
          <w:tcPr>
            <w:tcW w:w="2301" w:type="dxa"/>
            <w:shd w:val="clear" w:color="auto" w:fill="FFFFFF"/>
            <w:tcMar>
              <w:top w:w="60" w:type="dxa"/>
              <w:left w:w="100" w:type="dxa"/>
              <w:bottom w:w="60" w:type="dxa"/>
              <w:right w:w="100" w:type="dxa"/>
            </w:tcMar>
            <w:vAlign w:val="center"/>
          </w:tcPr>
          <w:p w14:paraId="6BF323E4" w14:textId="77777777" w:rsidR="00C7275F" w:rsidRPr="009D3648" w:rsidRDefault="00932CE0">
            <w:pPr>
              <w:rPr>
                <w:rFonts w:ascii="Calibri" w:hAnsi="Calibri" w:cs="Calibri"/>
                <w:sz w:val="22"/>
                <w:szCs w:val="22"/>
                <w:lang w:val="en-GB"/>
              </w:rPr>
            </w:pPr>
            <w:r w:rsidRPr="009D3648">
              <w:rPr>
                <w:rFonts w:ascii="Calibri" w:hAnsi="Calibri" w:cs="Calibri"/>
                <w:color w:val="000000"/>
                <w:sz w:val="22"/>
                <w:szCs w:val="22"/>
                <w:lang w:val="en-GB"/>
              </w:rPr>
              <w:t>% of sustainable savings &amp; pension assets under management (individual + group)</w:t>
            </w:r>
          </w:p>
        </w:tc>
        <w:tc>
          <w:tcPr>
            <w:tcW w:w="1306" w:type="dxa"/>
            <w:shd w:val="clear" w:color="auto" w:fill="FFFFFF"/>
            <w:tcMar>
              <w:top w:w="60" w:type="dxa"/>
              <w:left w:w="100" w:type="dxa"/>
              <w:bottom w:w="60" w:type="dxa"/>
              <w:right w:w="100" w:type="dxa"/>
            </w:tcMar>
            <w:vAlign w:val="center"/>
          </w:tcPr>
          <w:p w14:paraId="69B4C93A" w14:textId="77777777" w:rsidR="00C7275F" w:rsidRPr="009D3648" w:rsidRDefault="00932CE0">
            <w:pPr>
              <w:jc w:val="center"/>
              <w:rPr>
                <w:rFonts w:ascii="Calibri" w:hAnsi="Calibri" w:cs="Calibri"/>
                <w:sz w:val="22"/>
                <w:szCs w:val="22"/>
                <w:lang w:val="en-GB"/>
              </w:rPr>
            </w:pPr>
            <w:r w:rsidRPr="009D3648">
              <w:rPr>
                <w:rFonts w:ascii="Calibri" w:hAnsi="Calibri" w:cs="Calibri"/>
                <w:color w:val="000000"/>
                <w:sz w:val="22"/>
                <w:szCs w:val="22"/>
                <w:lang w:val="en-GB"/>
              </w:rPr>
              <w:t>72.8%</w:t>
            </w:r>
          </w:p>
        </w:tc>
        <w:tc>
          <w:tcPr>
            <w:tcW w:w="1306" w:type="dxa"/>
            <w:shd w:val="clear" w:color="auto" w:fill="FFFFFF"/>
            <w:tcMar>
              <w:top w:w="60" w:type="dxa"/>
              <w:left w:w="100" w:type="dxa"/>
              <w:bottom w:w="60" w:type="dxa"/>
              <w:right w:w="100" w:type="dxa"/>
            </w:tcMar>
            <w:vAlign w:val="center"/>
          </w:tcPr>
          <w:p w14:paraId="5798A962"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000000"/>
                <w:sz w:val="22"/>
                <w:szCs w:val="22"/>
                <w:lang w:val="en-GB"/>
              </w:rPr>
              <w:t>73.5%</w:t>
            </w:r>
          </w:p>
        </w:tc>
        <w:tc>
          <w:tcPr>
            <w:tcW w:w="1306" w:type="dxa"/>
            <w:shd w:val="clear" w:color="auto" w:fill="FFFFFF"/>
            <w:tcMar>
              <w:top w:w="60" w:type="dxa"/>
              <w:left w:w="100" w:type="dxa"/>
              <w:bottom w:w="60" w:type="dxa"/>
              <w:right w:w="100" w:type="dxa"/>
            </w:tcMar>
            <w:vAlign w:val="center"/>
          </w:tcPr>
          <w:p w14:paraId="16A70359" w14:textId="77777777" w:rsidR="00C7275F" w:rsidRPr="009D3648" w:rsidRDefault="00C7275F">
            <w:pPr>
              <w:rPr>
                <w:rFonts w:ascii="Calibri" w:hAnsi="Calibri" w:cs="Calibri"/>
                <w:sz w:val="22"/>
                <w:szCs w:val="22"/>
                <w:lang w:val="en-GB"/>
              </w:rPr>
            </w:pPr>
          </w:p>
        </w:tc>
        <w:tc>
          <w:tcPr>
            <w:tcW w:w="2687" w:type="dxa"/>
            <w:vMerge/>
          </w:tcPr>
          <w:p w14:paraId="203832A5" w14:textId="77777777" w:rsidR="00C7275F" w:rsidRPr="009D3648" w:rsidRDefault="00C7275F">
            <w:pPr>
              <w:rPr>
                <w:rFonts w:ascii="Calibri" w:hAnsi="Calibri" w:cs="Calibri"/>
                <w:sz w:val="22"/>
                <w:szCs w:val="22"/>
                <w:lang w:val="en-GB"/>
              </w:rPr>
            </w:pPr>
          </w:p>
        </w:tc>
      </w:tr>
    </w:tbl>
    <w:p w14:paraId="1D069462" w14:textId="77777777" w:rsidR="00C7275F" w:rsidRPr="009D3648" w:rsidRDefault="00C7275F">
      <w:pPr>
        <w:rPr>
          <w:rFonts w:ascii="Calibri" w:hAnsi="Calibri" w:cs="Calibri"/>
          <w:sz w:val="22"/>
          <w:szCs w:val="22"/>
          <w:lang w:val="en-GB"/>
        </w:rPr>
      </w:pPr>
    </w:p>
    <w:p w14:paraId="207727E7" w14:textId="77777777" w:rsidR="00C7275F" w:rsidRPr="009D3648" w:rsidRDefault="00932CE0">
      <w:pPr>
        <w:spacing w:before="120" w:after="60"/>
        <w:rPr>
          <w:rFonts w:ascii="Calibri" w:hAnsi="Calibri" w:cs="Calibri"/>
          <w:sz w:val="22"/>
          <w:szCs w:val="22"/>
          <w:lang w:val="en-GB"/>
        </w:rPr>
      </w:pPr>
      <w:r w:rsidRPr="009D3648">
        <w:rPr>
          <w:rFonts w:ascii="Calibri" w:hAnsi="Calibri" w:cs="Calibri"/>
          <w:b/>
          <w:bCs/>
          <w:i/>
          <w:iCs/>
          <w:sz w:val="22"/>
          <w:szCs w:val="22"/>
          <w:lang w:val="en-GB"/>
        </w:rPr>
        <w:t>Focus area: An insurer that’s always there for me</w:t>
      </w:r>
    </w:p>
    <w:tbl>
      <w:tblPr>
        <w:tblW w:w="104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10" w:type="dxa"/>
          <w:right w:w="10" w:type="dxa"/>
        </w:tblCellMar>
        <w:tblLook w:val="04A0" w:firstRow="1" w:lastRow="0" w:firstColumn="1" w:lastColumn="0" w:noHBand="0" w:noVBand="1"/>
      </w:tblPr>
      <w:tblGrid>
        <w:gridCol w:w="1512"/>
        <w:gridCol w:w="2248"/>
        <w:gridCol w:w="1304"/>
        <w:gridCol w:w="1304"/>
        <w:gridCol w:w="1304"/>
        <w:gridCol w:w="2813"/>
      </w:tblGrid>
      <w:tr w:rsidR="00C7275F" w:rsidRPr="009D3648" w14:paraId="4071FC33" w14:textId="77777777" w:rsidTr="00F258DB">
        <w:tblPrEx>
          <w:tblCellMar>
            <w:top w:w="0" w:type="dxa"/>
            <w:bottom w:w="0" w:type="dxa"/>
          </w:tblCellMar>
        </w:tblPrEx>
        <w:tc>
          <w:tcPr>
            <w:tcW w:w="1512" w:type="dxa"/>
            <w:shd w:val="clear" w:color="auto" w:fill="1F4E79"/>
            <w:tcMar>
              <w:top w:w="60" w:type="dxa"/>
              <w:left w:w="100" w:type="dxa"/>
              <w:bottom w:w="60" w:type="dxa"/>
              <w:right w:w="100" w:type="dxa"/>
            </w:tcMar>
            <w:vAlign w:val="center"/>
          </w:tcPr>
          <w:p w14:paraId="16429A85"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Issue</w:t>
            </w:r>
          </w:p>
        </w:tc>
        <w:tc>
          <w:tcPr>
            <w:tcW w:w="2248" w:type="dxa"/>
            <w:shd w:val="clear" w:color="auto" w:fill="1F4E79"/>
            <w:tcMar>
              <w:top w:w="60" w:type="dxa"/>
              <w:left w:w="100" w:type="dxa"/>
              <w:bottom w:w="60" w:type="dxa"/>
              <w:right w:w="100" w:type="dxa"/>
            </w:tcMar>
            <w:vAlign w:val="center"/>
          </w:tcPr>
          <w:p w14:paraId="142E8C61"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Indicator</w:t>
            </w:r>
          </w:p>
        </w:tc>
        <w:tc>
          <w:tcPr>
            <w:tcW w:w="1304" w:type="dxa"/>
            <w:shd w:val="clear" w:color="auto" w:fill="1F4E79"/>
            <w:tcMar>
              <w:top w:w="60" w:type="dxa"/>
              <w:left w:w="100" w:type="dxa"/>
              <w:bottom w:w="60" w:type="dxa"/>
              <w:right w:w="100" w:type="dxa"/>
            </w:tcMar>
            <w:vAlign w:val="center"/>
          </w:tcPr>
          <w:p w14:paraId="58CC1138"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Actual 2024</w:t>
            </w:r>
          </w:p>
        </w:tc>
        <w:tc>
          <w:tcPr>
            <w:tcW w:w="1304" w:type="dxa"/>
            <w:shd w:val="clear" w:color="auto" w:fill="1F4E79"/>
            <w:tcMar>
              <w:top w:w="60" w:type="dxa"/>
              <w:left w:w="100" w:type="dxa"/>
              <w:bottom w:w="60" w:type="dxa"/>
              <w:right w:w="100" w:type="dxa"/>
            </w:tcMar>
            <w:vAlign w:val="center"/>
          </w:tcPr>
          <w:p w14:paraId="27BD831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Actual 2025</w:t>
            </w:r>
          </w:p>
        </w:tc>
        <w:tc>
          <w:tcPr>
            <w:tcW w:w="1304" w:type="dxa"/>
            <w:shd w:val="clear" w:color="auto" w:fill="1F4E79"/>
            <w:tcMar>
              <w:top w:w="60" w:type="dxa"/>
              <w:left w:w="100" w:type="dxa"/>
              <w:bottom w:w="60" w:type="dxa"/>
              <w:right w:w="100" w:type="dxa"/>
            </w:tcMar>
            <w:vAlign w:val="center"/>
          </w:tcPr>
          <w:p w14:paraId="2C5AB27E"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Target 2030</w:t>
            </w:r>
          </w:p>
        </w:tc>
        <w:tc>
          <w:tcPr>
            <w:tcW w:w="2813" w:type="dxa"/>
            <w:shd w:val="clear" w:color="auto" w:fill="1F4E79"/>
            <w:tcMar>
              <w:top w:w="60" w:type="dxa"/>
              <w:left w:w="100" w:type="dxa"/>
              <w:bottom w:w="60" w:type="dxa"/>
              <w:right w:w="100" w:type="dxa"/>
            </w:tcMar>
            <w:vAlign w:val="center"/>
          </w:tcPr>
          <w:p w14:paraId="2E7E5AE6" w14:textId="77777777" w:rsidR="00C7275F" w:rsidRPr="009D3648" w:rsidRDefault="00932CE0">
            <w:pPr>
              <w:jc w:val="center"/>
              <w:rPr>
                <w:rFonts w:ascii="Calibri" w:hAnsi="Calibri" w:cs="Calibri"/>
                <w:sz w:val="22"/>
                <w:szCs w:val="22"/>
                <w:lang w:val="en-GB"/>
              </w:rPr>
            </w:pPr>
            <w:r w:rsidRPr="009D3648">
              <w:rPr>
                <w:rFonts w:ascii="Calibri" w:hAnsi="Calibri" w:cs="Calibri"/>
                <w:b/>
                <w:bCs/>
                <w:color w:val="FFFFFF"/>
                <w:sz w:val="22"/>
                <w:szCs w:val="22"/>
                <w:lang w:val="en-GB"/>
              </w:rPr>
              <w:t>Comments</w:t>
            </w:r>
          </w:p>
        </w:tc>
      </w:tr>
      <w:tr w:rsidR="00F258DB" w:rsidRPr="009D3648" w14:paraId="7528D8E8" w14:textId="77777777" w:rsidTr="00F258DB">
        <w:tblPrEx>
          <w:tblCellMar>
            <w:top w:w="0" w:type="dxa"/>
            <w:bottom w:w="0" w:type="dxa"/>
          </w:tblCellMar>
        </w:tblPrEx>
        <w:tc>
          <w:tcPr>
            <w:tcW w:w="1512" w:type="dxa"/>
            <w:shd w:val="clear" w:color="auto" w:fill="FFFFFF"/>
            <w:tcMar>
              <w:top w:w="60" w:type="dxa"/>
              <w:left w:w="100" w:type="dxa"/>
              <w:bottom w:w="60" w:type="dxa"/>
              <w:right w:w="100" w:type="dxa"/>
            </w:tcMar>
            <w:vAlign w:val="center"/>
          </w:tcPr>
          <w:p w14:paraId="2BFDA5AE" w14:textId="5931D9B3" w:rsidR="00F258DB" w:rsidRPr="009D3648" w:rsidRDefault="00F258DB" w:rsidP="00F258DB">
            <w:pPr>
              <w:rPr>
                <w:rFonts w:ascii="Calibri" w:hAnsi="Calibri" w:cs="Calibri"/>
                <w:b/>
                <w:bCs/>
                <w:color w:val="000000"/>
                <w:sz w:val="22"/>
                <w:szCs w:val="22"/>
                <w:lang w:val="en-GB"/>
              </w:rPr>
            </w:pPr>
            <w:r w:rsidRPr="009D3648">
              <w:rPr>
                <w:rFonts w:ascii="Calibri" w:hAnsi="Calibri" w:cs="Calibri"/>
                <w:b/>
                <w:bCs/>
                <w:color w:val="000000"/>
                <w:sz w:val="22"/>
                <w:szCs w:val="22"/>
                <w:lang w:val="en-GB"/>
              </w:rPr>
              <w:t>Prevention to reduce and mitigate harm to people and property</w:t>
            </w:r>
          </w:p>
        </w:tc>
        <w:tc>
          <w:tcPr>
            <w:tcW w:w="2248" w:type="dxa"/>
            <w:shd w:val="clear" w:color="auto" w:fill="FFFFFF"/>
            <w:tcMar>
              <w:top w:w="60" w:type="dxa"/>
              <w:left w:w="100" w:type="dxa"/>
              <w:bottom w:w="60" w:type="dxa"/>
              <w:right w:w="100" w:type="dxa"/>
            </w:tcMar>
            <w:vAlign w:val="center"/>
          </w:tcPr>
          <w:p w14:paraId="3CC9DC8D" w14:textId="68798A2E" w:rsidR="00F258DB" w:rsidRPr="009D3648" w:rsidRDefault="00F258DB" w:rsidP="00F258DB">
            <w:pPr>
              <w:rPr>
                <w:rFonts w:ascii="Calibri" w:hAnsi="Calibri" w:cs="Calibri"/>
                <w:b/>
                <w:bCs/>
                <w:color w:val="000000"/>
                <w:sz w:val="22"/>
                <w:szCs w:val="22"/>
                <w:lang w:val="en-GB"/>
              </w:rPr>
            </w:pPr>
            <w:r w:rsidRPr="009D3648">
              <w:rPr>
                <w:rFonts w:ascii="Calibri" w:hAnsi="Calibri" w:cs="Calibri"/>
                <w:b/>
                <w:bCs/>
                <w:color w:val="000000"/>
                <w:sz w:val="22"/>
                <w:szCs w:val="22"/>
                <w:lang w:val="en-GB"/>
              </w:rPr>
              <w:t>Achievement of our potential contribution to customers’ adaptation to climate change (% aligned/eligible Taxonomy premiums)</w:t>
            </w:r>
          </w:p>
        </w:tc>
        <w:tc>
          <w:tcPr>
            <w:tcW w:w="1304" w:type="dxa"/>
            <w:shd w:val="clear" w:color="auto" w:fill="FFFFFF"/>
            <w:tcMar>
              <w:top w:w="60" w:type="dxa"/>
              <w:left w:w="100" w:type="dxa"/>
              <w:bottom w:w="60" w:type="dxa"/>
              <w:right w:w="100" w:type="dxa"/>
            </w:tcMar>
            <w:vAlign w:val="center"/>
          </w:tcPr>
          <w:p w14:paraId="271EECFC" w14:textId="19B704F8" w:rsidR="00F258DB" w:rsidRPr="009D3648" w:rsidRDefault="00F258DB" w:rsidP="00F258DB">
            <w:pPr>
              <w:jc w:val="center"/>
              <w:rPr>
                <w:rFonts w:ascii="Calibri" w:hAnsi="Calibri" w:cs="Calibri"/>
                <w:color w:val="000000"/>
                <w:sz w:val="22"/>
                <w:szCs w:val="22"/>
                <w:lang w:val="en-GB"/>
              </w:rPr>
            </w:pPr>
            <w:r w:rsidRPr="009D3648">
              <w:rPr>
                <w:rFonts w:ascii="Calibri" w:hAnsi="Calibri" w:cs="Calibri"/>
                <w:color w:val="000000"/>
                <w:sz w:val="22"/>
                <w:szCs w:val="22"/>
                <w:lang w:val="en-GB"/>
              </w:rPr>
              <w:t>46.2%</w:t>
            </w:r>
          </w:p>
        </w:tc>
        <w:tc>
          <w:tcPr>
            <w:tcW w:w="1304" w:type="dxa"/>
            <w:shd w:val="clear" w:color="auto" w:fill="FFFFFF"/>
            <w:tcMar>
              <w:top w:w="60" w:type="dxa"/>
              <w:left w:w="100" w:type="dxa"/>
              <w:bottom w:w="60" w:type="dxa"/>
              <w:right w:w="100" w:type="dxa"/>
            </w:tcMar>
            <w:vAlign w:val="center"/>
          </w:tcPr>
          <w:p w14:paraId="68763844" w14:textId="1D46540B" w:rsidR="00F258DB" w:rsidRPr="009D3648" w:rsidRDefault="00F258DB" w:rsidP="00F258DB">
            <w:pPr>
              <w:jc w:val="center"/>
              <w:rPr>
                <w:rFonts w:ascii="Calibri" w:hAnsi="Calibri" w:cs="Calibri"/>
                <w:b/>
                <w:bCs/>
                <w:color w:val="000000"/>
                <w:sz w:val="22"/>
                <w:szCs w:val="22"/>
                <w:lang w:val="en-GB"/>
              </w:rPr>
            </w:pPr>
            <w:r w:rsidRPr="009D3648">
              <w:rPr>
                <w:rFonts w:ascii="Calibri" w:hAnsi="Calibri" w:cs="Calibri"/>
                <w:b/>
                <w:bCs/>
                <w:color w:val="000000"/>
                <w:sz w:val="22"/>
                <w:szCs w:val="22"/>
                <w:lang w:val="en-GB"/>
              </w:rPr>
              <w:t>55.2%</w:t>
            </w:r>
          </w:p>
        </w:tc>
        <w:tc>
          <w:tcPr>
            <w:tcW w:w="1304" w:type="dxa"/>
            <w:shd w:val="clear" w:color="auto" w:fill="FFFFFF"/>
            <w:tcMar>
              <w:top w:w="60" w:type="dxa"/>
              <w:left w:w="100" w:type="dxa"/>
              <w:bottom w:w="60" w:type="dxa"/>
              <w:right w:w="100" w:type="dxa"/>
            </w:tcMar>
            <w:vAlign w:val="center"/>
          </w:tcPr>
          <w:p w14:paraId="1A5975CD" w14:textId="2E12FB72" w:rsidR="00F258DB" w:rsidRPr="009D3648" w:rsidRDefault="00F258DB" w:rsidP="00F258DB">
            <w:pPr>
              <w:rPr>
                <w:rFonts w:ascii="Calibri" w:hAnsi="Calibri" w:cs="Calibri"/>
                <w:color w:val="000000"/>
                <w:sz w:val="22"/>
                <w:szCs w:val="22"/>
                <w:lang w:val="en-GB"/>
              </w:rPr>
            </w:pPr>
            <w:r w:rsidRPr="009D3648">
              <w:rPr>
                <w:rFonts w:ascii="Calibri" w:hAnsi="Calibri" w:cs="Calibri"/>
                <w:color w:val="000000"/>
                <w:sz w:val="22"/>
                <w:szCs w:val="22"/>
                <w:lang w:val="en-GB"/>
              </w:rPr>
              <w:t>95%</w:t>
            </w:r>
          </w:p>
        </w:tc>
        <w:tc>
          <w:tcPr>
            <w:tcW w:w="2813" w:type="dxa"/>
            <w:shd w:val="clear" w:color="auto" w:fill="FFFFFF"/>
            <w:tcMar>
              <w:top w:w="60" w:type="dxa"/>
              <w:left w:w="100" w:type="dxa"/>
              <w:bottom w:w="60" w:type="dxa"/>
              <w:right w:w="100" w:type="dxa"/>
            </w:tcMar>
            <w:vAlign w:val="center"/>
          </w:tcPr>
          <w:p w14:paraId="7508FEEE" w14:textId="294508E6" w:rsidR="00F258DB" w:rsidRPr="009D3648" w:rsidRDefault="00F258DB" w:rsidP="00F258DB">
            <w:pPr>
              <w:rPr>
                <w:rFonts w:ascii="Calibri" w:hAnsi="Calibri" w:cs="Calibri"/>
                <w:color w:val="000000"/>
                <w:sz w:val="22"/>
                <w:szCs w:val="22"/>
                <w:lang w:val="en-GB"/>
              </w:rPr>
            </w:pPr>
            <w:r w:rsidRPr="009D3648">
              <w:rPr>
                <w:rFonts w:ascii="Calibri" w:hAnsi="Calibri" w:cs="Calibri"/>
                <w:color w:val="000000"/>
                <w:sz w:val="22"/>
                <w:szCs w:val="22"/>
                <w:lang w:val="en-GB"/>
              </w:rPr>
              <w:t>See Taxonomy section – Non-Life Insurance KPI</w:t>
            </w:r>
          </w:p>
        </w:tc>
      </w:tr>
      <w:tr w:rsidR="00F258DB" w:rsidRPr="009D3648" w14:paraId="12969E98" w14:textId="77777777" w:rsidTr="00F258DB">
        <w:tblPrEx>
          <w:tblCellMar>
            <w:top w:w="0" w:type="dxa"/>
            <w:bottom w:w="0" w:type="dxa"/>
          </w:tblCellMar>
        </w:tblPrEx>
        <w:tc>
          <w:tcPr>
            <w:tcW w:w="1512" w:type="dxa"/>
            <w:vMerge w:val="restart"/>
            <w:shd w:val="clear" w:color="auto" w:fill="FFFFFF"/>
            <w:tcMar>
              <w:top w:w="60" w:type="dxa"/>
              <w:left w:w="100" w:type="dxa"/>
              <w:bottom w:w="60" w:type="dxa"/>
              <w:right w:w="100" w:type="dxa"/>
            </w:tcMar>
            <w:vAlign w:val="center"/>
          </w:tcPr>
          <w:p w14:paraId="6FE517C7" w14:textId="77777777" w:rsidR="00F258DB" w:rsidRPr="009D3648" w:rsidRDefault="00F258DB" w:rsidP="00F258DB">
            <w:pPr>
              <w:rPr>
                <w:rFonts w:ascii="Calibri" w:hAnsi="Calibri" w:cs="Calibri"/>
                <w:sz w:val="22"/>
                <w:szCs w:val="22"/>
                <w:lang w:val="en-GB"/>
              </w:rPr>
            </w:pPr>
            <w:r w:rsidRPr="009D3648">
              <w:rPr>
                <w:rFonts w:ascii="Calibri" w:hAnsi="Calibri" w:cs="Calibri"/>
                <w:b/>
                <w:bCs/>
                <w:color w:val="000000"/>
                <w:sz w:val="22"/>
                <w:szCs w:val="22"/>
                <w:lang w:val="en-GB"/>
              </w:rPr>
              <w:t xml:space="preserve">Transitions: Protection solutions responding to changes in </w:t>
            </w:r>
            <w:r w:rsidRPr="009D3648">
              <w:rPr>
                <w:rFonts w:ascii="Calibri" w:hAnsi="Calibri" w:cs="Calibri"/>
                <w:b/>
                <w:bCs/>
                <w:color w:val="000000"/>
                <w:sz w:val="22"/>
                <w:szCs w:val="22"/>
                <w:lang w:val="en-GB"/>
              </w:rPr>
              <w:lastRenderedPageBreak/>
              <w:t>the environment and lifestyles</w:t>
            </w:r>
          </w:p>
        </w:tc>
        <w:tc>
          <w:tcPr>
            <w:tcW w:w="2248" w:type="dxa"/>
            <w:shd w:val="clear" w:color="auto" w:fill="FFFFFF"/>
            <w:tcMar>
              <w:top w:w="60" w:type="dxa"/>
              <w:left w:w="100" w:type="dxa"/>
              <w:bottom w:w="60" w:type="dxa"/>
              <w:right w:w="100" w:type="dxa"/>
            </w:tcMar>
            <w:vAlign w:val="center"/>
          </w:tcPr>
          <w:p w14:paraId="42CE12AC" w14:textId="77777777" w:rsidR="00F258DB" w:rsidRPr="009D3648" w:rsidRDefault="00F258DB" w:rsidP="00F258DB">
            <w:pPr>
              <w:rPr>
                <w:rFonts w:ascii="Calibri" w:hAnsi="Calibri" w:cs="Calibri"/>
                <w:sz w:val="22"/>
                <w:szCs w:val="22"/>
                <w:lang w:val="en-GB"/>
              </w:rPr>
            </w:pPr>
            <w:r w:rsidRPr="009D3648">
              <w:rPr>
                <w:rFonts w:ascii="Calibri" w:hAnsi="Calibri" w:cs="Calibri"/>
                <w:b/>
                <w:bCs/>
                <w:color w:val="000000"/>
                <w:sz w:val="22"/>
                <w:szCs w:val="22"/>
                <w:lang w:val="en-GB"/>
              </w:rPr>
              <w:lastRenderedPageBreak/>
              <w:t>Groupama’s market share of area insured under Climate Multi-Risk and Grassland cover in France</w:t>
            </w:r>
          </w:p>
        </w:tc>
        <w:tc>
          <w:tcPr>
            <w:tcW w:w="1304" w:type="dxa"/>
            <w:shd w:val="clear" w:color="auto" w:fill="FFFFFF"/>
            <w:tcMar>
              <w:top w:w="60" w:type="dxa"/>
              <w:left w:w="100" w:type="dxa"/>
              <w:bottom w:w="60" w:type="dxa"/>
              <w:right w:w="100" w:type="dxa"/>
            </w:tcMar>
            <w:vAlign w:val="center"/>
          </w:tcPr>
          <w:p w14:paraId="76AF212E" w14:textId="77777777" w:rsidR="00F258DB" w:rsidRPr="009D3648" w:rsidRDefault="00F258DB" w:rsidP="00F258DB">
            <w:pPr>
              <w:jc w:val="center"/>
              <w:rPr>
                <w:rFonts w:ascii="Calibri" w:hAnsi="Calibri" w:cs="Calibri"/>
                <w:sz w:val="22"/>
                <w:szCs w:val="22"/>
                <w:lang w:val="en-GB"/>
              </w:rPr>
            </w:pPr>
            <w:r w:rsidRPr="009D3648">
              <w:rPr>
                <w:rFonts w:ascii="Calibri" w:hAnsi="Calibri" w:cs="Calibri"/>
                <w:color w:val="000000"/>
                <w:sz w:val="22"/>
                <w:szCs w:val="22"/>
                <w:lang w:val="en-GB"/>
              </w:rPr>
              <w:t>48.2%</w:t>
            </w:r>
          </w:p>
        </w:tc>
        <w:tc>
          <w:tcPr>
            <w:tcW w:w="1304" w:type="dxa"/>
            <w:shd w:val="clear" w:color="auto" w:fill="FFFFFF"/>
            <w:tcMar>
              <w:top w:w="60" w:type="dxa"/>
              <w:left w:w="100" w:type="dxa"/>
              <w:bottom w:w="60" w:type="dxa"/>
              <w:right w:w="100" w:type="dxa"/>
            </w:tcMar>
            <w:vAlign w:val="center"/>
          </w:tcPr>
          <w:p w14:paraId="3798D39A" w14:textId="77777777" w:rsidR="00F258DB" w:rsidRPr="009D3648" w:rsidRDefault="00F258DB" w:rsidP="00F258DB">
            <w:pPr>
              <w:jc w:val="center"/>
              <w:rPr>
                <w:rFonts w:ascii="Calibri" w:hAnsi="Calibri" w:cs="Calibri"/>
                <w:sz w:val="22"/>
                <w:szCs w:val="22"/>
                <w:lang w:val="en-GB"/>
              </w:rPr>
            </w:pPr>
            <w:r w:rsidRPr="009D3648">
              <w:rPr>
                <w:rFonts w:ascii="Calibri" w:hAnsi="Calibri" w:cs="Calibri"/>
                <w:b/>
                <w:bCs/>
                <w:color w:val="000000"/>
                <w:sz w:val="22"/>
                <w:szCs w:val="22"/>
                <w:lang w:val="en-GB"/>
              </w:rPr>
              <w:t>46.7%</w:t>
            </w:r>
          </w:p>
        </w:tc>
        <w:tc>
          <w:tcPr>
            <w:tcW w:w="1304" w:type="dxa"/>
            <w:shd w:val="clear" w:color="auto" w:fill="FFFFFF"/>
            <w:tcMar>
              <w:top w:w="60" w:type="dxa"/>
              <w:left w:w="100" w:type="dxa"/>
              <w:bottom w:w="60" w:type="dxa"/>
              <w:right w:w="100" w:type="dxa"/>
            </w:tcMar>
            <w:vAlign w:val="center"/>
          </w:tcPr>
          <w:p w14:paraId="7CFA9861" w14:textId="77777777" w:rsidR="00F258DB" w:rsidRPr="009D3648" w:rsidRDefault="00F258DB" w:rsidP="00F258DB">
            <w:pPr>
              <w:rPr>
                <w:rFonts w:ascii="Calibri" w:hAnsi="Calibri" w:cs="Calibri"/>
                <w:sz w:val="22"/>
                <w:szCs w:val="22"/>
                <w:lang w:val="en-GB"/>
              </w:rPr>
            </w:pPr>
            <w:r w:rsidRPr="009D3648">
              <w:rPr>
                <w:rFonts w:ascii="Calibri" w:hAnsi="Calibri" w:cs="Calibri"/>
                <w:color w:val="000000"/>
                <w:sz w:val="22"/>
                <w:szCs w:val="22"/>
                <w:lang w:val="en-GB"/>
              </w:rPr>
              <w:t>-</w:t>
            </w:r>
          </w:p>
        </w:tc>
        <w:tc>
          <w:tcPr>
            <w:tcW w:w="2813" w:type="dxa"/>
            <w:shd w:val="clear" w:color="auto" w:fill="FFFFFF"/>
            <w:tcMar>
              <w:top w:w="60" w:type="dxa"/>
              <w:left w:w="100" w:type="dxa"/>
              <w:bottom w:w="60" w:type="dxa"/>
              <w:right w:w="100" w:type="dxa"/>
            </w:tcMar>
            <w:vAlign w:val="center"/>
          </w:tcPr>
          <w:p w14:paraId="34B4AE7C" w14:textId="77777777" w:rsidR="00F258DB" w:rsidRPr="009D3648" w:rsidRDefault="00F258DB" w:rsidP="00F258DB">
            <w:pPr>
              <w:rPr>
                <w:rFonts w:ascii="Calibri" w:hAnsi="Calibri" w:cs="Calibri"/>
                <w:sz w:val="22"/>
                <w:szCs w:val="22"/>
                <w:lang w:val="en-GB"/>
              </w:rPr>
            </w:pPr>
            <w:r w:rsidRPr="009D3648">
              <w:rPr>
                <w:rFonts w:ascii="Calibri" w:hAnsi="Calibri" w:cs="Calibri"/>
                <w:color w:val="000000"/>
                <w:sz w:val="22"/>
                <w:szCs w:val="22"/>
                <w:lang w:val="en-GB"/>
              </w:rPr>
              <w:t>Estimated 2025 market area: 6,446,516 ha (provisional data from the Ministry of Agriculture)</w:t>
            </w:r>
          </w:p>
        </w:tc>
      </w:tr>
      <w:tr w:rsidR="00F258DB" w:rsidRPr="009D3648" w14:paraId="0889037D" w14:textId="77777777" w:rsidTr="00F258DB">
        <w:tblPrEx>
          <w:tblCellMar>
            <w:top w:w="0" w:type="dxa"/>
            <w:bottom w:w="0" w:type="dxa"/>
          </w:tblCellMar>
        </w:tblPrEx>
        <w:tc>
          <w:tcPr>
            <w:tcW w:w="0" w:type="auto"/>
            <w:vMerge/>
          </w:tcPr>
          <w:p w14:paraId="374EF500" w14:textId="77777777" w:rsidR="00F258DB" w:rsidRPr="009D3648" w:rsidRDefault="00F258DB" w:rsidP="00F258DB">
            <w:pPr>
              <w:rPr>
                <w:rFonts w:ascii="Calibri" w:hAnsi="Calibri" w:cs="Calibri"/>
                <w:sz w:val="22"/>
                <w:szCs w:val="22"/>
                <w:lang w:val="en-GB"/>
              </w:rPr>
            </w:pPr>
          </w:p>
        </w:tc>
        <w:tc>
          <w:tcPr>
            <w:tcW w:w="2248" w:type="dxa"/>
            <w:shd w:val="clear" w:color="auto" w:fill="FFFFFF"/>
            <w:tcMar>
              <w:top w:w="60" w:type="dxa"/>
              <w:left w:w="100" w:type="dxa"/>
              <w:bottom w:w="60" w:type="dxa"/>
              <w:right w:w="100" w:type="dxa"/>
            </w:tcMar>
            <w:vAlign w:val="center"/>
          </w:tcPr>
          <w:p w14:paraId="6B19DB49" w14:textId="77777777" w:rsidR="00F258DB" w:rsidRPr="009D3648" w:rsidRDefault="00F258DB" w:rsidP="00F258DB">
            <w:pPr>
              <w:rPr>
                <w:rFonts w:ascii="Calibri" w:hAnsi="Calibri" w:cs="Calibri"/>
                <w:sz w:val="22"/>
                <w:szCs w:val="22"/>
                <w:lang w:val="en-GB"/>
              </w:rPr>
            </w:pPr>
            <w:r w:rsidRPr="009D3648">
              <w:rPr>
                <w:rFonts w:ascii="Calibri" w:hAnsi="Calibri" w:cs="Calibri"/>
                <w:b/>
                <w:bCs/>
                <w:color w:val="000000"/>
                <w:sz w:val="22"/>
                <w:szCs w:val="22"/>
                <w:lang w:val="en-GB"/>
              </w:rPr>
              <w:t>Forest area insured by Groupama for property damage – Fire and storm (thousand ha) – France</w:t>
            </w:r>
          </w:p>
        </w:tc>
        <w:tc>
          <w:tcPr>
            <w:tcW w:w="1304" w:type="dxa"/>
            <w:shd w:val="clear" w:color="auto" w:fill="FFFFFF"/>
            <w:tcMar>
              <w:top w:w="60" w:type="dxa"/>
              <w:left w:w="100" w:type="dxa"/>
              <w:bottom w:w="60" w:type="dxa"/>
              <w:right w:w="100" w:type="dxa"/>
            </w:tcMar>
            <w:vAlign w:val="center"/>
          </w:tcPr>
          <w:p w14:paraId="59FE7B00" w14:textId="77777777" w:rsidR="00F258DB" w:rsidRPr="009D3648" w:rsidRDefault="00F258DB" w:rsidP="00F258DB">
            <w:pPr>
              <w:jc w:val="center"/>
              <w:rPr>
                <w:rFonts w:ascii="Calibri" w:hAnsi="Calibri" w:cs="Calibri"/>
                <w:sz w:val="22"/>
                <w:szCs w:val="22"/>
                <w:lang w:val="en-GB"/>
              </w:rPr>
            </w:pPr>
            <w:r w:rsidRPr="009D3648">
              <w:rPr>
                <w:rFonts w:ascii="Calibri" w:hAnsi="Calibri" w:cs="Calibri"/>
                <w:color w:val="000000"/>
                <w:sz w:val="22"/>
                <w:szCs w:val="22"/>
                <w:lang w:val="en-GB"/>
              </w:rPr>
              <w:t>354</w:t>
            </w:r>
          </w:p>
        </w:tc>
        <w:tc>
          <w:tcPr>
            <w:tcW w:w="1304" w:type="dxa"/>
            <w:shd w:val="clear" w:color="auto" w:fill="FFFFFF"/>
            <w:tcMar>
              <w:top w:w="60" w:type="dxa"/>
              <w:left w:w="100" w:type="dxa"/>
              <w:bottom w:w="60" w:type="dxa"/>
              <w:right w:w="100" w:type="dxa"/>
            </w:tcMar>
            <w:vAlign w:val="center"/>
          </w:tcPr>
          <w:p w14:paraId="12C19608" w14:textId="77777777" w:rsidR="00F258DB" w:rsidRPr="009D3648" w:rsidRDefault="00F258DB" w:rsidP="00F258DB">
            <w:pPr>
              <w:jc w:val="center"/>
              <w:rPr>
                <w:rFonts w:ascii="Calibri" w:hAnsi="Calibri" w:cs="Calibri"/>
                <w:sz w:val="22"/>
                <w:szCs w:val="22"/>
                <w:lang w:val="en-GB"/>
              </w:rPr>
            </w:pPr>
            <w:r w:rsidRPr="009D3648">
              <w:rPr>
                <w:rFonts w:ascii="Calibri" w:hAnsi="Calibri" w:cs="Calibri"/>
                <w:b/>
                <w:bCs/>
                <w:color w:val="000000"/>
                <w:sz w:val="22"/>
                <w:szCs w:val="22"/>
                <w:lang w:val="en-GB"/>
              </w:rPr>
              <w:t>368</w:t>
            </w:r>
          </w:p>
        </w:tc>
        <w:tc>
          <w:tcPr>
            <w:tcW w:w="1304" w:type="dxa"/>
            <w:shd w:val="clear" w:color="auto" w:fill="FFFFFF"/>
            <w:tcMar>
              <w:top w:w="60" w:type="dxa"/>
              <w:left w:w="100" w:type="dxa"/>
              <w:bottom w:w="60" w:type="dxa"/>
              <w:right w:w="100" w:type="dxa"/>
            </w:tcMar>
            <w:vAlign w:val="center"/>
          </w:tcPr>
          <w:p w14:paraId="27A55B05" w14:textId="77777777" w:rsidR="00F258DB" w:rsidRPr="009D3648" w:rsidRDefault="00F258DB" w:rsidP="00F258DB">
            <w:pPr>
              <w:rPr>
                <w:rFonts w:ascii="Calibri" w:hAnsi="Calibri" w:cs="Calibri"/>
                <w:sz w:val="22"/>
                <w:szCs w:val="22"/>
                <w:lang w:val="en-GB"/>
              </w:rPr>
            </w:pPr>
            <w:r w:rsidRPr="009D3648">
              <w:rPr>
                <w:rFonts w:ascii="Calibri" w:hAnsi="Calibri" w:cs="Calibri"/>
                <w:color w:val="000000"/>
                <w:sz w:val="22"/>
                <w:szCs w:val="22"/>
                <w:lang w:val="en-GB"/>
              </w:rPr>
              <w:t>-</w:t>
            </w:r>
          </w:p>
        </w:tc>
        <w:tc>
          <w:tcPr>
            <w:tcW w:w="2813" w:type="dxa"/>
            <w:shd w:val="clear" w:color="auto" w:fill="FFFFFF"/>
            <w:tcMar>
              <w:top w:w="60" w:type="dxa"/>
              <w:left w:w="100" w:type="dxa"/>
              <w:bottom w:w="60" w:type="dxa"/>
              <w:right w:w="100" w:type="dxa"/>
            </w:tcMar>
            <w:vAlign w:val="center"/>
          </w:tcPr>
          <w:p w14:paraId="0DA18571" w14:textId="77777777" w:rsidR="00F258DB" w:rsidRPr="009D3648" w:rsidRDefault="00F258DB" w:rsidP="00F258DB">
            <w:pPr>
              <w:rPr>
                <w:rFonts w:ascii="Calibri" w:hAnsi="Calibri" w:cs="Calibri"/>
                <w:sz w:val="22"/>
                <w:szCs w:val="22"/>
                <w:lang w:val="en-GB"/>
              </w:rPr>
            </w:pPr>
            <w:r w:rsidRPr="009D3648">
              <w:rPr>
                <w:rFonts w:ascii="Calibri" w:hAnsi="Calibri" w:cs="Calibri"/>
                <w:color w:val="000000"/>
                <w:sz w:val="22"/>
                <w:szCs w:val="22"/>
                <w:lang w:val="en-GB"/>
              </w:rPr>
              <w:t>i.e. approximately 35% market share</w:t>
            </w:r>
          </w:p>
        </w:tc>
      </w:tr>
      <w:tr w:rsidR="00F258DB" w:rsidRPr="009D3648" w14:paraId="60D4380E" w14:textId="77777777" w:rsidTr="006E2476">
        <w:tblPrEx>
          <w:tblCellMar>
            <w:top w:w="0" w:type="dxa"/>
            <w:bottom w:w="0" w:type="dxa"/>
          </w:tblCellMar>
        </w:tblPrEx>
        <w:tc>
          <w:tcPr>
            <w:tcW w:w="1512" w:type="dxa"/>
            <w:vMerge w:val="restart"/>
            <w:shd w:val="clear" w:color="auto" w:fill="FFFFFF"/>
            <w:tcMar>
              <w:top w:w="60" w:type="dxa"/>
              <w:left w:w="100" w:type="dxa"/>
              <w:bottom w:w="60" w:type="dxa"/>
              <w:right w:w="100" w:type="dxa"/>
            </w:tcMar>
            <w:vAlign w:val="center"/>
          </w:tcPr>
          <w:p w14:paraId="0B57982C" w14:textId="77777777" w:rsidR="00F258DB" w:rsidRPr="009D3648" w:rsidRDefault="00F258DB" w:rsidP="00F258DB">
            <w:pPr>
              <w:rPr>
                <w:rFonts w:ascii="Calibri" w:hAnsi="Calibri" w:cs="Calibri"/>
                <w:sz w:val="22"/>
                <w:szCs w:val="22"/>
                <w:lang w:val="en-GB"/>
              </w:rPr>
            </w:pPr>
            <w:r w:rsidRPr="009D3648">
              <w:rPr>
                <w:rFonts w:ascii="Calibri" w:hAnsi="Calibri" w:cs="Calibri"/>
                <w:b/>
                <w:bCs/>
                <w:color w:val="000000"/>
                <w:sz w:val="22"/>
                <w:szCs w:val="22"/>
                <w:lang w:val="en-GB"/>
              </w:rPr>
              <w:t>Resilience of people and property: helping to rebuild and repair more sustainably, with the smallest possible footprint</w:t>
            </w:r>
          </w:p>
        </w:tc>
        <w:tc>
          <w:tcPr>
            <w:tcW w:w="2248" w:type="dxa"/>
            <w:shd w:val="clear" w:color="auto" w:fill="FFFFFF"/>
            <w:tcMar>
              <w:top w:w="60" w:type="dxa"/>
              <w:left w:w="100" w:type="dxa"/>
              <w:bottom w:w="60" w:type="dxa"/>
              <w:right w:w="100" w:type="dxa"/>
            </w:tcMar>
            <w:vAlign w:val="center"/>
          </w:tcPr>
          <w:p w14:paraId="3A758795" w14:textId="77777777" w:rsidR="00F258DB" w:rsidRPr="009D3648" w:rsidRDefault="00F258DB" w:rsidP="00F258DB">
            <w:pPr>
              <w:rPr>
                <w:rFonts w:ascii="Calibri" w:hAnsi="Calibri" w:cs="Calibri"/>
                <w:sz w:val="22"/>
                <w:szCs w:val="22"/>
                <w:lang w:val="en-GB"/>
              </w:rPr>
            </w:pPr>
            <w:r w:rsidRPr="009D3648">
              <w:rPr>
                <w:rFonts w:ascii="Calibri" w:hAnsi="Calibri" w:cs="Calibri"/>
                <w:b/>
                <w:bCs/>
                <w:color w:val="000000"/>
                <w:sz w:val="22"/>
                <w:szCs w:val="22"/>
                <w:lang w:val="en-GB"/>
              </w:rPr>
              <w:t>Repair rate for auto claims &lt; 3.5t, collision cover</w:t>
            </w:r>
          </w:p>
        </w:tc>
        <w:tc>
          <w:tcPr>
            <w:tcW w:w="6725" w:type="dxa"/>
            <w:gridSpan w:val="4"/>
            <w:vMerge w:val="restart"/>
            <w:shd w:val="clear" w:color="auto" w:fill="FFFFFF"/>
            <w:tcMar>
              <w:top w:w="60" w:type="dxa"/>
              <w:left w:w="100" w:type="dxa"/>
              <w:bottom w:w="60" w:type="dxa"/>
              <w:right w:w="100" w:type="dxa"/>
            </w:tcMar>
            <w:vAlign w:val="center"/>
          </w:tcPr>
          <w:p w14:paraId="1251A283" w14:textId="77777777" w:rsidR="00F258DB" w:rsidRPr="009D3648" w:rsidRDefault="00F258DB" w:rsidP="00F258DB">
            <w:pPr>
              <w:rPr>
                <w:rFonts w:ascii="Calibri" w:hAnsi="Calibri" w:cs="Calibri"/>
                <w:sz w:val="22"/>
                <w:szCs w:val="22"/>
                <w:lang w:val="en-GB"/>
              </w:rPr>
            </w:pPr>
            <w:r w:rsidRPr="009D3648">
              <w:rPr>
                <w:rFonts w:ascii="Calibri" w:hAnsi="Calibri" w:cs="Calibri"/>
                <w:color w:val="000000"/>
                <w:sz w:val="22"/>
                <w:szCs w:val="22"/>
                <w:lang w:val="en-GB"/>
              </w:rPr>
              <w:t>See the decarbonisation levers section “given our role as an insurer” above.</w:t>
            </w:r>
          </w:p>
        </w:tc>
      </w:tr>
      <w:tr w:rsidR="00F258DB" w:rsidRPr="009D3648" w14:paraId="12D96085" w14:textId="77777777" w:rsidTr="006E2476">
        <w:tblPrEx>
          <w:tblCellMar>
            <w:top w:w="0" w:type="dxa"/>
            <w:bottom w:w="0" w:type="dxa"/>
          </w:tblCellMar>
        </w:tblPrEx>
        <w:tc>
          <w:tcPr>
            <w:tcW w:w="0" w:type="auto"/>
            <w:vMerge/>
          </w:tcPr>
          <w:p w14:paraId="48776154" w14:textId="77777777" w:rsidR="00F258DB" w:rsidRPr="009D3648" w:rsidRDefault="00F258DB" w:rsidP="00F258DB">
            <w:pPr>
              <w:rPr>
                <w:rFonts w:ascii="Calibri" w:hAnsi="Calibri" w:cs="Calibri"/>
                <w:sz w:val="22"/>
                <w:szCs w:val="22"/>
                <w:lang w:val="en-GB"/>
              </w:rPr>
            </w:pPr>
          </w:p>
        </w:tc>
        <w:tc>
          <w:tcPr>
            <w:tcW w:w="2248" w:type="dxa"/>
            <w:shd w:val="clear" w:color="auto" w:fill="FFFFFF"/>
            <w:tcMar>
              <w:top w:w="60" w:type="dxa"/>
              <w:left w:w="100" w:type="dxa"/>
              <w:bottom w:w="60" w:type="dxa"/>
              <w:right w:w="100" w:type="dxa"/>
            </w:tcMar>
            <w:vAlign w:val="center"/>
          </w:tcPr>
          <w:p w14:paraId="26DDB11A" w14:textId="77777777" w:rsidR="00F258DB" w:rsidRPr="009D3648" w:rsidRDefault="00F258DB" w:rsidP="00F258DB">
            <w:pPr>
              <w:rPr>
                <w:rFonts w:ascii="Calibri" w:hAnsi="Calibri" w:cs="Calibri"/>
                <w:sz w:val="22"/>
                <w:szCs w:val="22"/>
                <w:lang w:val="en-GB"/>
              </w:rPr>
            </w:pPr>
            <w:r w:rsidRPr="009D3648">
              <w:rPr>
                <w:rFonts w:ascii="Calibri" w:hAnsi="Calibri" w:cs="Calibri"/>
                <w:b/>
                <w:bCs/>
                <w:color w:val="000000"/>
                <w:sz w:val="22"/>
                <w:szCs w:val="22"/>
                <w:lang w:val="en-GB"/>
              </w:rPr>
              <w:t>% of auto claims &lt; 3.5t with at least one reused part</w:t>
            </w:r>
          </w:p>
        </w:tc>
        <w:tc>
          <w:tcPr>
            <w:tcW w:w="6725" w:type="dxa"/>
            <w:gridSpan w:val="4"/>
            <w:vMerge/>
            <w:shd w:val="clear" w:color="auto" w:fill="FFFFFF"/>
            <w:tcMar>
              <w:top w:w="60" w:type="dxa"/>
              <w:left w:w="100" w:type="dxa"/>
              <w:bottom w:w="60" w:type="dxa"/>
              <w:right w:w="100" w:type="dxa"/>
            </w:tcMar>
            <w:vAlign w:val="center"/>
          </w:tcPr>
          <w:p w14:paraId="2A8386DC" w14:textId="77777777" w:rsidR="00F258DB" w:rsidRPr="009D3648" w:rsidRDefault="00F258DB" w:rsidP="00F258DB">
            <w:pPr>
              <w:rPr>
                <w:rFonts w:ascii="Calibri" w:hAnsi="Calibri" w:cs="Calibri"/>
                <w:sz w:val="22"/>
                <w:szCs w:val="22"/>
                <w:lang w:val="en-GB"/>
              </w:rPr>
            </w:pPr>
          </w:p>
        </w:tc>
      </w:tr>
      <w:tr w:rsidR="00F258DB" w:rsidRPr="009D3648" w14:paraId="7581748B" w14:textId="77777777" w:rsidTr="006E2476">
        <w:tblPrEx>
          <w:tblCellMar>
            <w:top w:w="0" w:type="dxa"/>
            <w:bottom w:w="0" w:type="dxa"/>
          </w:tblCellMar>
        </w:tblPrEx>
        <w:tc>
          <w:tcPr>
            <w:tcW w:w="0" w:type="auto"/>
            <w:vMerge/>
          </w:tcPr>
          <w:p w14:paraId="38588371" w14:textId="77777777" w:rsidR="00F258DB" w:rsidRPr="009D3648" w:rsidRDefault="00F258DB" w:rsidP="00F258DB">
            <w:pPr>
              <w:rPr>
                <w:rFonts w:ascii="Calibri" w:hAnsi="Calibri" w:cs="Calibri"/>
                <w:sz w:val="22"/>
                <w:szCs w:val="22"/>
                <w:lang w:val="en-GB"/>
              </w:rPr>
            </w:pPr>
          </w:p>
        </w:tc>
        <w:tc>
          <w:tcPr>
            <w:tcW w:w="2248" w:type="dxa"/>
            <w:shd w:val="clear" w:color="auto" w:fill="FFFFFF"/>
            <w:tcMar>
              <w:top w:w="60" w:type="dxa"/>
              <w:left w:w="100" w:type="dxa"/>
              <w:bottom w:w="60" w:type="dxa"/>
              <w:right w:w="100" w:type="dxa"/>
            </w:tcMar>
            <w:vAlign w:val="center"/>
          </w:tcPr>
          <w:p w14:paraId="36B75793" w14:textId="77777777" w:rsidR="00F258DB" w:rsidRPr="009D3648" w:rsidRDefault="00F258DB" w:rsidP="00F258DB">
            <w:pPr>
              <w:rPr>
                <w:rFonts w:ascii="Calibri" w:hAnsi="Calibri" w:cs="Calibri"/>
                <w:sz w:val="22"/>
                <w:szCs w:val="22"/>
                <w:lang w:val="en-GB"/>
              </w:rPr>
            </w:pPr>
            <w:r w:rsidRPr="009D3648">
              <w:rPr>
                <w:rFonts w:ascii="Calibri" w:hAnsi="Calibri" w:cs="Calibri"/>
                <w:b/>
                <w:bCs/>
                <w:color w:val="000000"/>
                <w:sz w:val="22"/>
                <w:szCs w:val="22"/>
                <w:lang w:val="en-GB"/>
              </w:rPr>
              <w:t>Remote assessment rate for Auto claims</w:t>
            </w:r>
          </w:p>
        </w:tc>
        <w:tc>
          <w:tcPr>
            <w:tcW w:w="6725" w:type="dxa"/>
            <w:gridSpan w:val="4"/>
            <w:vMerge/>
            <w:shd w:val="clear" w:color="auto" w:fill="FFFFFF"/>
            <w:tcMar>
              <w:top w:w="60" w:type="dxa"/>
              <w:left w:w="100" w:type="dxa"/>
              <w:bottom w:w="60" w:type="dxa"/>
              <w:right w:w="100" w:type="dxa"/>
            </w:tcMar>
            <w:vAlign w:val="center"/>
          </w:tcPr>
          <w:p w14:paraId="5C2E4106" w14:textId="77777777" w:rsidR="00F258DB" w:rsidRPr="009D3648" w:rsidRDefault="00F258DB" w:rsidP="00F258DB">
            <w:pPr>
              <w:rPr>
                <w:rFonts w:ascii="Calibri" w:hAnsi="Calibri" w:cs="Calibri"/>
                <w:sz w:val="22"/>
                <w:szCs w:val="22"/>
                <w:lang w:val="en-GB"/>
              </w:rPr>
            </w:pPr>
          </w:p>
        </w:tc>
      </w:tr>
      <w:tr w:rsidR="00F258DB" w:rsidRPr="009D3648" w14:paraId="75B5478D" w14:textId="77777777" w:rsidTr="006E2476">
        <w:tblPrEx>
          <w:tblCellMar>
            <w:top w:w="0" w:type="dxa"/>
            <w:bottom w:w="0" w:type="dxa"/>
          </w:tblCellMar>
        </w:tblPrEx>
        <w:tc>
          <w:tcPr>
            <w:tcW w:w="0" w:type="auto"/>
            <w:vMerge/>
          </w:tcPr>
          <w:p w14:paraId="0260F1E2" w14:textId="77777777" w:rsidR="00F258DB" w:rsidRPr="009D3648" w:rsidRDefault="00F258DB" w:rsidP="00F258DB">
            <w:pPr>
              <w:rPr>
                <w:rFonts w:ascii="Calibri" w:hAnsi="Calibri" w:cs="Calibri"/>
                <w:sz w:val="22"/>
                <w:szCs w:val="22"/>
                <w:lang w:val="en-GB"/>
              </w:rPr>
            </w:pPr>
          </w:p>
        </w:tc>
        <w:tc>
          <w:tcPr>
            <w:tcW w:w="2248" w:type="dxa"/>
            <w:shd w:val="clear" w:color="auto" w:fill="FFFFFF"/>
            <w:tcMar>
              <w:top w:w="60" w:type="dxa"/>
              <w:left w:w="100" w:type="dxa"/>
              <w:bottom w:w="60" w:type="dxa"/>
              <w:right w:w="100" w:type="dxa"/>
            </w:tcMar>
            <w:vAlign w:val="center"/>
          </w:tcPr>
          <w:p w14:paraId="5C2C2877" w14:textId="77777777" w:rsidR="00F258DB" w:rsidRPr="009D3648" w:rsidRDefault="00F258DB" w:rsidP="00F258DB">
            <w:pPr>
              <w:rPr>
                <w:rFonts w:ascii="Calibri" w:hAnsi="Calibri" w:cs="Calibri"/>
                <w:sz w:val="22"/>
                <w:szCs w:val="22"/>
                <w:lang w:val="en-GB"/>
              </w:rPr>
            </w:pPr>
            <w:r w:rsidRPr="009D3648">
              <w:rPr>
                <w:rFonts w:ascii="Calibri" w:hAnsi="Calibri" w:cs="Calibri"/>
                <w:b/>
                <w:bCs/>
                <w:color w:val="000000"/>
                <w:sz w:val="22"/>
                <w:szCs w:val="22"/>
                <w:lang w:val="en-GB"/>
              </w:rPr>
              <w:t>Remote assessment rate for Property Damage claims</w:t>
            </w:r>
          </w:p>
        </w:tc>
        <w:tc>
          <w:tcPr>
            <w:tcW w:w="6725" w:type="dxa"/>
            <w:gridSpan w:val="4"/>
            <w:vMerge/>
            <w:shd w:val="clear" w:color="auto" w:fill="FFFFFF"/>
            <w:tcMar>
              <w:top w:w="60" w:type="dxa"/>
              <w:left w:w="100" w:type="dxa"/>
              <w:bottom w:w="60" w:type="dxa"/>
              <w:right w:w="100" w:type="dxa"/>
            </w:tcMar>
            <w:vAlign w:val="center"/>
          </w:tcPr>
          <w:p w14:paraId="57C683A5" w14:textId="77777777" w:rsidR="00F258DB" w:rsidRPr="009D3648" w:rsidRDefault="00F258DB" w:rsidP="00F258DB">
            <w:pPr>
              <w:rPr>
                <w:rFonts w:ascii="Calibri" w:hAnsi="Calibri" w:cs="Calibri"/>
                <w:sz w:val="22"/>
                <w:szCs w:val="22"/>
                <w:lang w:val="en-GB"/>
              </w:rPr>
            </w:pPr>
          </w:p>
        </w:tc>
      </w:tr>
    </w:tbl>
    <w:p w14:paraId="4686DAAB" w14:textId="77777777" w:rsidR="00C7275F" w:rsidRPr="009D3648" w:rsidRDefault="00C7275F">
      <w:pPr>
        <w:rPr>
          <w:rFonts w:ascii="Calibri" w:hAnsi="Calibri" w:cs="Calibri"/>
          <w:sz w:val="22"/>
          <w:szCs w:val="22"/>
          <w:lang w:val="en-GB"/>
        </w:rPr>
      </w:pPr>
    </w:p>
    <w:p w14:paraId="6CE23002" w14:textId="77777777" w:rsidR="00C7275F" w:rsidRPr="009D3648" w:rsidRDefault="00C7275F">
      <w:pPr>
        <w:rPr>
          <w:rFonts w:ascii="Calibri" w:hAnsi="Calibri" w:cs="Calibri"/>
          <w:sz w:val="22"/>
          <w:szCs w:val="22"/>
          <w:lang w:val="en-GB"/>
        </w:rPr>
      </w:pPr>
    </w:p>
    <w:sectPr w:rsidR="00C7275F" w:rsidRPr="009D3648">
      <w:pgSz w:w="12240" w:h="15840"/>
      <w:pgMar w:top="901" w:right="901" w:bottom="901" w:left="9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707A5"/>
    <w:multiLevelType w:val="hybridMultilevel"/>
    <w:tmpl w:val="C9A2CE80"/>
    <w:lvl w:ilvl="0" w:tplc="C3A8A1E4">
      <w:start w:val="1"/>
      <w:numFmt w:val="bullet"/>
      <w:lvlText w:val="●"/>
      <w:lvlJc w:val="left"/>
      <w:pPr>
        <w:ind w:left="720" w:hanging="360"/>
      </w:pPr>
    </w:lvl>
    <w:lvl w:ilvl="1" w:tplc="48C8AE3C">
      <w:start w:val="1"/>
      <w:numFmt w:val="bullet"/>
      <w:lvlText w:val="○"/>
      <w:lvlJc w:val="left"/>
      <w:pPr>
        <w:ind w:left="1440" w:hanging="360"/>
      </w:pPr>
    </w:lvl>
    <w:lvl w:ilvl="2" w:tplc="C67E60CE">
      <w:start w:val="1"/>
      <w:numFmt w:val="bullet"/>
      <w:lvlText w:val="■"/>
      <w:lvlJc w:val="left"/>
      <w:pPr>
        <w:ind w:left="2160" w:hanging="360"/>
      </w:pPr>
    </w:lvl>
    <w:lvl w:ilvl="3" w:tplc="33E8B7FC">
      <w:start w:val="1"/>
      <w:numFmt w:val="bullet"/>
      <w:lvlText w:val="●"/>
      <w:lvlJc w:val="left"/>
      <w:pPr>
        <w:ind w:left="2880" w:hanging="360"/>
      </w:pPr>
    </w:lvl>
    <w:lvl w:ilvl="4" w:tplc="DD269CBE">
      <w:start w:val="1"/>
      <w:numFmt w:val="bullet"/>
      <w:lvlText w:val="○"/>
      <w:lvlJc w:val="left"/>
      <w:pPr>
        <w:ind w:left="3600" w:hanging="360"/>
      </w:pPr>
    </w:lvl>
    <w:lvl w:ilvl="5" w:tplc="D0025B56">
      <w:start w:val="1"/>
      <w:numFmt w:val="bullet"/>
      <w:lvlText w:val="■"/>
      <w:lvlJc w:val="left"/>
      <w:pPr>
        <w:ind w:left="4320" w:hanging="360"/>
      </w:pPr>
    </w:lvl>
    <w:lvl w:ilvl="6" w:tplc="4468B148">
      <w:start w:val="1"/>
      <w:numFmt w:val="bullet"/>
      <w:lvlText w:val="●"/>
      <w:lvlJc w:val="left"/>
      <w:pPr>
        <w:ind w:left="5040" w:hanging="360"/>
      </w:pPr>
    </w:lvl>
    <w:lvl w:ilvl="7" w:tplc="BE844E98">
      <w:start w:val="1"/>
      <w:numFmt w:val="bullet"/>
      <w:lvlText w:val="●"/>
      <w:lvlJc w:val="left"/>
      <w:pPr>
        <w:ind w:left="5760" w:hanging="360"/>
      </w:pPr>
    </w:lvl>
    <w:lvl w:ilvl="8" w:tplc="87A2C85E">
      <w:start w:val="1"/>
      <w:numFmt w:val="bullet"/>
      <w:lvlText w:val="●"/>
      <w:lvlJc w:val="left"/>
      <w:pPr>
        <w:ind w:left="6480" w:hanging="360"/>
      </w:pPr>
    </w:lvl>
  </w:abstractNum>
  <w:num w:numId="1" w16cid:durableId="6355239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75F"/>
    <w:rsid w:val="0077444E"/>
    <w:rsid w:val="00905AB4"/>
    <w:rsid w:val="00932CE0"/>
    <w:rsid w:val="009D3648"/>
    <w:rsid w:val="00A7450A"/>
    <w:rsid w:val="00AF1287"/>
    <w:rsid w:val="00C7275F"/>
    <w:rsid w:val="00F258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84CD2"/>
  <w15:docId w15:val="{FD692E9D-C37F-4EBB-89A1-5F990D5A1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38F543E5F66D458A8A6FE721D24046" ma:contentTypeVersion="19" ma:contentTypeDescription="Crée un document." ma:contentTypeScope="" ma:versionID="caaa5cb69de7247a227e57e2b21c9a76">
  <xsd:schema xmlns:xsd="http://www.w3.org/2001/XMLSchema" xmlns:xs="http://www.w3.org/2001/XMLSchema" xmlns:p="http://schemas.microsoft.com/office/2006/metadata/properties" xmlns:ns2="ba77cd48-5ae9-4982-9b2a-01b519db2532" xmlns:ns3="91ca790f-8076-4ab6-8a4d-a3d824597b85" xmlns:ns4="a7827d2d-9029-4da6-a61b-587828a986ef" targetNamespace="http://schemas.microsoft.com/office/2006/metadata/properties" ma:root="true" ma:fieldsID="c0736b32c6c1a52d3808860fb4a36e48" ns2:_="" ns3:_="" ns4:_="">
    <xsd:import namespace="ba77cd48-5ae9-4982-9b2a-01b519db2532"/>
    <xsd:import namespace="91ca790f-8076-4ab6-8a4d-a3d824597b85"/>
    <xsd:import namespace="a7827d2d-9029-4da6-a61b-587828a986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odifi_x00e9_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77cd48-5ae9-4982-9b2a-01b519db25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6b1e2251-3249-4a8d-b2f4-24c3095a1d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odifi_x00e9_le" ma:index="26" nillable="true" ma:displayName="Modifié le" ma:format="DateOnly" ma:internalName="Modifi_x00e9_l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ca790f-8076-4ab6-8a4d-a3d824597b85"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27d2d-9029-4da6-a61b-587828a986e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a0cf1a3-779f-4663-ba7b-d24005244bed}" ma:internalName="TaxCatchAll" ma:showField="CatchAllData" ma:web="b1987c49-28e6-48bb-aecb-4b73af75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827d2d-9029-4da6-a61b-587828a986ef" xsi:nil="true"/>
    <lcf76f155ced4ddcb4097134ff3c332f xmlns="ba77cd48-5ae9-4982-9b2a-01b519db2532">
      <Terms xmlns="http://schemas.microsoft.com/office/infopath/2007/PartnerControls"/>
    </lcf76f155ced4ddcb4097134ff3c332f>
    <Modifi_x00e9_le xmlns="ba77cd48-5ae9-4982-9b2a-01b519db2532" xsi:nil="true"/>
  </documentManagement>
</p:properties>
</file>

<file path=customXml/itemProps1.xml><?xml version="1.0" encoding="utf-8"?>
<ds:datastoreItem xmlns:ds="http://schemas.openxmlformats.org/officeDocument/2006/customXml" ds:itemID="{06C843B9-7E4B-4533-870A-85611B980248}"/>
</file>

<file path=customXml/itemProps2.xml><?xml version="1.0" encoding="utf-8"?>
<ds:datastoreItem xmlns:ds="http://schemas.openxmlformats.org/officeDocument/2006/customXml" ds:itemID="{60823153-091B-48D9-93AC-FE32473D8397}"/>
</file>

<file path=customXml/itemProps3.xml><?xml version="1.0" encoding="utf-8"?>
<ds:datastoreItem xmlns:ds="http://schemas.openxmlformats.org/officeDocument/2006/customXml" ds:itemID="{DE479FF9-BCAE-4230-919D-D79B6913EBC2}"/>
</file>

<file path=docProps/app.xml><?xml version="1.0" encoding="utf-8"?>
<Properties xmlns="http://schemas.openxmlformats.org/officeDocument/2006/extended-properties" xmlns:vt="http://schemas.openxmlformats.org/officeDocument/2006/docPropsVTypes">
  <Template>Normal</Template>
  <TotalTime>9</TotalTime>
  <Pages>25</Pages>
  <Words>7181</Words>
  <Characters>39497</Characters>
  <Application>Microsoft Office Word</Application>
  <DocSecurity>0</DocSecurity>
  <Lines>329</Lines>
  <Paragraphs>93</Paragraphs>
  <ScaleCrop>false</ScaleCrop>
  <Company/>
  <LinksUpToDate>false</LinksUpToDate>
  <CharactersWithSpaces>46585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MUGNIER Leny</cp:lastModifiedBy>
  <cp:revision>2</cp:revision>
  <dcterms:created xsi:type="dcterms:W3CDTF">2026-08-07T08:46:00Z</dcterms:created>
  <dcterms:modified xsi:type="dcterms:W3CDTF">2026-08-07T08:46:00Z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0x010100E638F543E5F66D458A8A6FE721D24046</vt:lpwstr>
  </property>
</Properties>
</file>